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43BFBE" w14:textId="1CAC339F" w:rsidR="00473E11" w:rsidRPr="006811D0" w:rsidRDefault="00473E11" w:rsidP="00A131B1">
      <w:pPr>
        <w:pStyle w:val="Contenudetableau"/>
        <w:snapToGrid w:val="0"/>
        <w:spacing w:line="276" w:lineRule="auto"/>
        <w:jc w:val="center"/>
        <w:rPr>
          <w:rFonts w:cs="Times New Roman"/>
          <w:bCs/>
        </w:rPr>
      </w:pPr>
    </w:p>
    <w:p w14:paraId="15451EE0" w14:textId="40A3B072" w:rsidR="0004701F" w:rsidRPr="006811D0" w:rsidRDefault="0004701F" w:rsidP="00A131B1">
      <w:pPr>
        <w:pStyle w:val="Contenudetableau"/>
        <w:snapToGrid w:val="0"/>
        <w:spacing w:line="276" w:lineRule="auto"/>
        <w:jc w:val="center"/>
        <w:rPr>
          <w:rFonts w:cs="Times New Roman"/>
          <w:bCs/>
          <w:sz w:val="52"/>
          <w:szCs w:val="52"/>
        </w:rPr>
      </w:pPr>
      <w:r w:rsidRPr="006811D0">
        <w:rPr>
          <w:rFonts w:cs="Times New Roman"/>
          <w:bCs/>
          <w:sz w:val="52"/>
          <w:szCs w:val="52"/>
        </w:rPr>
        <w:t>Grand programme de recherche</w:t>
      </w:r>
    </w:p>
    <w:p w14:paraId="53DAD648" w14:textId="403A9EA3" w:rsidR="0004701F" w:rsidRPr="006811D0" w:rsidRDefault="0010654E" w:rsidP="00847089">
      <w:pPr>
        <w:pStyle w:val="Contenudetableau"/>
        <w:snapToGrid w:val="0"/>
        <w:spacing w:after="240" w:line="276" w:lineRule="auto"/>
        <w:jc w:val="center"/>
        <w:rPr>
          <w:rFonts w:cs="Times New Roman"/>
          <w:bCs/>
          <w:sz w:val="52"/>
          <w:szCs w:val="52"/>
        </w:rPr>
      </w:pPr>
      <w:r>
        <w:rPr>
          <w:rFonts w:cs="Times New Roman"/>
          <w:bCs/>
          <w:sz w:val="52"/>
          <w:szCs w:val="52"/>
        </w:rPr>
        <w:t>« </w:t>
      </w:r>
      <w:r w:rsidR="0004701F" w:rsidRPr="006811D0">
        <w:rPr>
          <w:rFonts w:cs="Times New Roman"/>
          <w:bCs/>
          <w:sz w:val="52"/>
          <w:szCs w:val="52"/>
        </w:rPr>
        <w:t>Faire collection</w:t>
      </w:r>
      <w:r>
        <w:rPr>
          <w:rFonts w:cs="Times New Roman"/>
          <w:bCs/>
          <w:sz w:val="52"/>
          <w:szCs w:val="52"/>
        </w:rPr>
        <w:t> »</w:t>
      </w:r>
    </w:p>
    <w:p w14:paraId="6C4B4F19" w14:textId="3CF41279" w:rsidR="0004701F" w:rsidRPr="006811D0" w:rsidRDefault="00B26FEC" w:rsidP="00A131B1">
      <w:pPr>
        <w:pStyle w:val="Contenudetableau"/>
        <w:snapToGrid w:val="0"/>
        <w:spacing w:line="276" w:lineRule="auto"/>
        <w:jc w:val="center"/>
        <w:rPr>
          <w:rFonts w:cs="Times New Roman"/>
          <w:bCs/>
          <w:sz w:val="52"/>
          <w:szCs w:val="52"/>
        </w:rPr>
      </w:pPr>
      <w:r w:rsidRPr="006811D0">
        <w:rPr>
          <w:rFonts w:cs="Times New Roman"/>
          <w:bCs/>
          <w:sz w:val="52"/>
          <w:szCs w:val="52"/>
        </w:rPr>
        <w:t xml:space="preserve">Appel </w:t>
      </w:r>
      <w:r w:rsidR="00C15B95">
        <w:rPr>
          <w:rFonts w:cs="Times New Roman"/>
          <w:bCs/>
          <w:sz w:val="52"/>
          <w:szCs w:val="52"/>
        </w:rPr>
        <w:t>à projets scientifiques des équipes partenaires</w:t>
      </w:r>
    </w:p>
    <w:p w14:paraId="51064340" w14:textId="77777777" w:rsidR="008F6CEA" w:rsidRPr="008F6CEA" w:rsidRDefault="008F6CEA" w:rsidP="00D30249">
      <w:pPr>
        <w:pStyle w:val="Contenudetableau"/>
        <w:snapToGrid w:val="0"/>
        <w:spacing w:line="276" w:lineRule="auto"/>
        <w:jc w:val="both"/>
        <w:rPr>
          <w:rFonts w:cs="Times New Roman"/>
          <w:sz w:val="28"/>
        </w:rPr>
      </w:pPr>
    </w:p>
    <w:p w14:paraId="6E463AEB" w14:textId="174F29A8" w:rsidR="006A2E70" w:rsidRPr="005676EA" w:rsidRDefault="001E4DE0" w:rsidP="001E4DE0">
      <w:pPr>
        <w:pStyle w:val="Contenudetableau"/>
        <w:snapToGrid w:val="0"/>
        <w:spacing w:line="276" w:lineRule="auto"/>
        <w:jc w:val="both"/>
        <w:rPr>
          <w:rFonts w:cs="Times New Roman"/>
          <w:b/>
          <w:bCs/>
          <w:sz w:val="28"/>
        </w:rPr>
      </w:pPr>
      <w:r w:rsidRPr="005676EA">
        <w:rPr>
          <w:rFonts w:cs="Times New Roman"/>
          <w:b/>
          <w:bCs/>
          <w:sz w:val="28"/>
        </w:rPr>
        <w:t>Objet de l’appel</w:t>
      </w:r>
    </w:p>
    <w:p w14:paraId="0C70F5CF" w14:textId="62AEFA11" w:rsidR="00E24FD5" w:rsidRPr="00A169C2" w:rsidRDefault="00E24FD5" w:rsidP="00E24FD5">
      <w:pPr>
        <w:jc w:val="both"/>
        <w:rPr>
          <w:rFonts w:cs="Times New Roman"/>
        </w:rPr>
      </w:pPr>
      <w:r w:rsidRPr="00A169C2">
        <w:rPr>
          <w:rFonts w:cs="Times New Roman"/>
        </w:rPr>
        <w:t>Cet appel a vocation à financer des opérations collectives et limitées dans le temps (12</w:t>
      </w:r>
      <w:r>
        <w:rPr>
          <w:rFonts w:cs="Times New Roman"/>
        </w:rPr>
        <w:t> </w:t>
      </w:r>
      <w:r w:rsidRPr="00A169C2">
        <w:rPr>
          <w:rFonts w:cs="Times New Roman"/>
        </w:rPr>
        <w:t>mois), qui entrent dans le périmètre scientifique du GPR « Faire collection. L’ordre matériel de l’enseignement et de la recherche ».</w:t>
      </w:r>
      <w:r w:rsidR="00761B6F">
        <w:rPr>
          <w:rFonts w:cs="Times New Roman"/>
        </w:rPr>
        <w:t xml:space="preserve"> Les projets scientifiques doivent être présentés par </w:t>
      </w:r>
      <w:r w:rsidR="002677EA">
        <w:rPr>
          <w:rFonts w:cs="Times New Roman"/>
        </w:rPr>
        <w:t xml:space="preserve">au moins </w:t>
      </w:r>
      <w:r w:rsidR="00761B6F">
        <w:rPr>
          <w:rFonts w:cs="Times New Roman"/>
        </w:rPr>
        <w:t xml:space="preserve">une </w:t>
      </w:r>
      <w:r w:rsidR="009772AD">
        <w:rPr>
          <w:rFonts w:cs="Times New Roman"/>
        </w:rPr>
        <w:t>des 13</w:t>
      </w:r>
      <w:r w:rsidR="007E7DC4">
        <w:rPr>
          <w:rFonts w:cs="Times New Roman"/>
        </w:rPr>
        <w:t> </w:t>
      </w:r>
      <w:r w:rsidR="00761B6F">
        <w:rPr>
          <w:rFonts w:cs="Times New Roman"/>
        </w:rPr>
        <w:t>unité</w:t>
      </w:r>
      <w:r w:rsidR="009772AD">
        <w:rPr>
          <w:rFonts w:cs="Times New Roman"/>
        </w:rPr>
        <w:t>s</w:t>
      </w:r>
      <w:r w:rsidR="00761B6F">
        <w:rPr>
          <w:rFonts w:cs="Times New Roman"/>
        </w:rPr>
        <w:t xml:space="preserve"> de recherche partenaire</w:t>
      </w:r>
      <w:r w:rsidR="009772AD">
        <w:rPr>
          <w:rFonts w:cs="Times New Roman"/>
        </w:rPr>
        <w:t>s</w:t>
      </w:r>
      <w:r w:rsidR="00761B6F">
        <w:rPr>
          <w:rFonts w:cs="Times New Roman"/>
        </w:rPr>
        <w:t xml:space="preserve"> du GPR Faire collection.</w:t>
      </w:r>
    </w:p>
    <w:p w14:paraId="6492CDD4" w14:textId="77777777" w:rsidR="00E24FD5" w:rsidRPr="00A169C2" w:rsidRDefault="00E24FD5" w:rsidP="00E24FD5">
      <w:pPr>
        <w:jc w:val="both"/>
        <w:rPr>
          <w:rFonts w:cs="Times New Roman"/>
          <w:u w:val="single"/>
        </w:rPr>
      </w:pPr>
    </w:p>
    <w:p w14:paraId="6EEF30BA" w14:textId="2F2A3043" w:rsidR="00E24FD5" w:rsidRPr="001E4DE0" w:rsidRDefault="00E24FD5" w:rsidP="001E4DE0">
      <w:pPr>
        <w:pStyle w:val="Contenudetableau"/>
        <w:snapToGrid w:val="0"/>
        <w:spacing w:line="276" w:lineRule="auto"/>
        <w:jc w:val="both"/>
        <w:rPr>
          <w:rFonts w:cs="Times New Roman"/>
          <w:b/>
          <w:bCs/>
          <w:sz w:val="28"/>
        </w:rPr>
      </w:pPr>
      <w:r w:rsidRPr="001E4DE0">
        <w:rPr>
          <w:rFonts w:cs="Times New Roman"/>
          <w:b/>
          <w:bCs/>
          <w:sz w:val="28"/>
        </w:rPr>
        <w:t>Rappel des objectifs scientifiques du GPR</w:t>
      </w:r>
      <w:r w:rsidR="00761B6F">
        <w:rPr>
          <w:rFonts w:cs="Times New Roman"/>
          <w:b/>
          <w:bCs/>
          <w:sz w:val="28"/>
        </w:rPr>
        <w:t xml:space="preserve"> Faire collection</w:t>
      </w:r>
    </w:p>
    <w:p w14:paraId="692D534B" w14:textId="0CD37D29" w:rsidR="00E24FD5" w:rsidRPr="00A169C2" w:rsidRDefault="00E24FD5" w:rsidP="00E24FD5">
      <w:pPr>
        <w:spacing w:after="120"/>
        <w:jc w:val="both"/>
        <w:rPr>
          <w:rFonts w:cs="Times New Roman"/>
        </w:rPr>
      </w:pPr>
      <w:r w:rsidRPr="00A169C2">
        <w:rPr>
          <w:rFonts w:cs="Times New Roman"/>
        </w:rPr>
        <w:t xml:space="preserve">Le GPR « Faire collection » </w:t>
      </w:r>
      <w:r w:rsidR="00E46350">
        <w:rPr>
          <w:rFonts w:cs="Times New Roman"/>
        </w:rPr>
        <w:t>concerne</w:t>
      </w:r>
      <w:r w:rsidRPr="00A169C2">
        <w:rPr>
          <w:rFonts w:cs="Times New Roman"/>
        </w:rPr>
        <w:t xml:space="preserve"> l’histoire des collections</w:t>
      </w:r>
      <w:r w:rsidR="00E46350">
        <w:rPr>
          <w:rFonts w:cs="Times New Roman"/>
        </w:rPr>
        <w:t xml:space="preserve"> liées aux activités d’enseignement et de recherche, étudiées</w:t>
      </w:r>
      <w:r w:rsidRPr="00A169C2">
        <w:rPr>
          <w:rFonts w:cs="Times New Roman"/>
        </w:rPr>
        <w:t xml:space="preserve"> dans une perspective transdisciplinaire, diachronique et réflexive. Il organise sa réflexion en deux axes.</w:t>
      </w:r>
    </w:p>
    <w:p w14:paraId="0AE14AAD" w14:textId="77777777" w:rsidR="00E24FD5" w:rsidRPr="00A169C2" w:rsidRDefault="00E24FD5" w:rsidP="00E24FD5">
      <w:pPr>
        <w:jc w:val="both"/>
        <w:rPr>
          <w:rFonts w:eastAsiaTheme="minorEastAsia" w:cs="Times New Roman"/>
        </w:rPr>
      </w:pPr>
      <w:r w:rsidRPr="00A169C2">
        <w:rPr>
          <w:rFonts w:eastAsiaTheme="minorEastAsia" w:cs="Times New Roman"/>
        </w:rPr>
        <w:t>L’</w:t>
      </w:r>
      <w:r w:rsidRPr="00A169C2">
        <w:rPr>
          <w:rFonts w:eastAsiaTheme="minorEastAsia" w:cs="Times New Roman"/>
          <w:b/>
          <w:bCs/>
        </w:rPr>
        <w:t>axe 1</w:t>
      </w:r>
      <w:r w:rsidRPr="00A169C2">
        <w:rPr>
          <w:rFonts w:eastAsiaTheme="minorEastAsia" w:cs="Times New Roman"/>
        </w:rPr>
        <w:t xml:space="preserve"> considère l’</w:t>
      </w:r>
      <w:r w:rsidRPr="00A169C2">
        <w:rPr>
          <w:rFonts w:eastAsiaTheme="minorEastAsia" w:cs="Times New Roman"/>
          <w:b/>
          <w:bCs/>
        </w:rPr>
        <w:t>histoire des collections</w:t>
      </w:r>
      <w:r>
        <w:rPr>
          <w:rFonts w:eastAsiaTheme="minorEastAsia" w:cs="Times New Roman"/>
        </w:rPr>
        <w:t> </w:t>
      </w:r>
      <w:r w:rsidRPr="00A169C2">
        <w:rPr>
          <w:rFonts w:eastAsiaTheme="minorEastAsia" w:cs="Times New Roman"/>
        </w:rPr>
        <w:t>– passées, présentes ou futures</w:t>
      </w:r>
      <w:r>
        <w:rPr>
          <w:rFonts w:eastAsiaTheme="minorEastAsia" w:cs="Times New Roman"/>
        </w:rPr>
        <w:t> </w:t>
      </w:r>
      <w:r w:rsidRPr="00A169C2">
        <w:rPr>
          <w:rFonts w:eastAsiaTheme="minorEastAsia" w:cs="Times New Roman"/>
        </w:rPr>
        <w:t>– et les opérations cognitives et matérielles qui en sont la matrice : sélectionner, rassembler, classer, décrire</w:t>
      </w:r>
      <w:r>
        <w:rPr>
          <w:rFonts w:eastAsiaTheme="minorEastAsia" w:cs="Times New Roman"/>
        </w:rPr>
        <w:t>,</w:t>
      </w:r>
      <w:r w:rsidRPr="00A169C2">
        <w:rPr>
          <w:rFonts w:eastAsiaTheme="minorEastAsia" w:cs="Times New Roman"/>
        </w:rPr>
        <w:t xml:space="preserve"> mais aussi disperser, détruire et oublier.</w:t>
      </w:r>
    </w:p>
    <w:p w14:paraId="7FFA8DEF" w14:textId="77777777" w:rsidR="00E24FD5" w:rsidRPr="00A169C2" w:rsidRDefault="00E24FD5" w:rsidP="00E24FD5">
      <w:pPr>
        <w:ind w:left="708"/>
        <w:jc w:val="both"/>
        <w:rPr>
          <w:rFonts w:eastAsiaTheme="minorEastAsia" w:cs="Times New Roman"/>
        </w:rPr>
      </w:pPr>
      <w:r w:rsidRPr="00A169C2">
        <w:rPr>
          <w:rFonts w:eastAsiaTheme="minorEastAsia" w:cs="Times New Roman"/>
          <w:b/>
          <w:bCs/>
        </w:rPr>
        <w:t>1.1. La collection, une histoire fragile</w:t>
      </w:r>
      <w:r w:rsidRPr="00A169C2">
        <w:rPr>
          <w:rFonts w:eastAsiaTheme="minorEastAsia" w:cs="Times New Roman"/>
        </w:rPr>
        <w:t xml:space="preserve"> étudie dans la longue durée, à partir d’études de cas, les phénomènes d’institutionnalisation, mais aussi de destruction ou de re</w:t>
      </w:r>
      <w:r>
        <w:rPr>
          <w:rFonts w:eastAsiaTheme="minorEastAsia" w:cs="Times New Roman"/>
        </w:rPr>
        <w:t>-</w:t>
      </w:r>
      <w:r w:rsidRPr="00A169C2">
        <w:rPr>
          <w:rFonts w:eastAsiaTheme="minorEastAsia" w:cs="Times New Roman"/>
        </w:rPr>
        <w:t>sémantisation des objets collectionnés.</w:t>
      </w:r>
    </w:p>
    <w:p w14:paraId="4A2407C7" w14:textId="28754618" w:rsidR="00E24FD5" w:rsidRPr="00A169C2" w:rsidRDefault="00E24FD5" w:rsidP="00E24FD5">
      <w:pPr>
        <w:spacing w:after="120"/>
        <w:ind w:left="709"/>
        <w:jc w:val="both"/>
        <w:rPr>
          <w:rFonts w:eastAsiaTheme="minorEastAsia" w:cs="Times New Roman"/>
        </w:rPr>
      </w:pPr>
      <w:r w:rsidRPr="00A169C2">
        <w:rPr>
          <w:rFonts w:eastAsiaTheme="minorEastAsia" w:cs="Times New Roman"/>
          <w:b/>
          <w:bCs/>
        </w:rPr>
        <w:t>1.2. Collectionner la science aujourd’hui</w:t>
      </w:r>
      <w:r w:rsidRPr="00A169C2">
        <w:rPr>
          <w:rFonts w:eastAsiaTheme="minorEastAsia" w:cs="Times New Roman"/>
        </w:rPr>
        <w:t xml:space="preserve"> interroge nos pratiques actuelles de collection, dans leur dimension intellectuelle, matérielle et politique, mais aussi leurs routines et leurs impensés.</w:t>
      </w:r>
    </w:p>
    <w:p w14:paraId="634B442B" w14:textId="77777777" w:rsidR="00E24FD5" w:rsidRPr="00A169C2" w:rsidRDefault="00E24FD5" w:rsidP="00E24FD5">
      <w:pPr>
        <w:jc w:val="both"/>
        <w:rPr>
          <w:rFonts w:eastAsiaTheme="minorEastAsia" w:cs="Times New Roman"/>
        </w:rPr>
      </w:pPr>
      <w:r w:rsidRPr="00A169C2">
        <w:rPr>
          <w:rFonts w:eastAsiaTheme="minorEastAsia" w:cs="Times New Roman"/>
        </w:rPr>
        <w:t>L’</w:t>
      </w:r>
      <w:r w:rsidRPr="00A169C2">
        <w:rPr>
          <w:rFonts w:eastAsiaTheme="minorEastAsia" w:cs="Times New Roman"/>
          <w:b/>
          <w:bCs/>
        </w:rPr>
        <w:t>axe 2</w:t>
      </w:r>
      <w:r w:rsidRPr="00A169C2">
        <w:rPr>
          <w:rFonts w:eastAsiaTheme="minorEastAsia" w:cs="Times New Roman"/>
        </w:rPr>
        <w:t xml:space="preserve"> s’intéresse à </w:t>
      </w:r>
      <w:r w:rsidRPr="00A169C2">
        <w:rPr>
          <w:rFonts w:eastAsiaTheme="minorEastAsia" w:cs="Times New Roman"/>
          <w:b/>
          <w:bCs/>
        </w:rPr>
        <w:t>ce que les collections font aux communautés scientifiques</w:t>
      </w:r>
      <w:r w:rsidRPr="00A169C2">
        <w:rPr>
          <w:rFonts w:eastAsiaTheme="minorEastAsia" w:cs="Times New Roman"/>
        </w:rPr>
        <w:t>.</w:t>
      </w:r>
    </w:p>
    <w:p w14:paraId="59830E85" w14:textId="77777777" w:rsidR="00E24FD5" w:rsidRPr="00A169C2" w:rsidRDefault="00E24FD5" w:rsidP="00E24FD5">
      <w:pPr>
        <w:ind w:left="708"/>
        <w:jc w:val="both"/>
        <w:rPr>
          <w:rFonts w:eastAsiaTheme="minorEastAsia" w:cs="Times New Roman"/>
        </w:rPr>
      </w:pPr>
      <w:r w:rsidRPr="00A169C2">
        <w:rPr>
          <w:rFonts w:eastAsiaTheme="minorEastAsia" w:cs="Times New Roman"/>
          <w:b/>
          <w:bCs/>
        </w:rPr>
        <w:t>2.1. Faire communauté par les collections, d’hier à aujourd’hui</w:t>
      </w:r>
      <w:r w:rsidRPr="00A169C2">
        <w:rPr>
          <w:rFonts w:eastAsiaTheme="minorEastAsia" w:cs="Times New Roman"/>
        </w:rPr>
        <w:t xml:space="preserve"> interroge ce que les collections existantes et celles à constituer peuvent apporter à la construction de nouvelles communautés issues de la réunion d’établissements plus anciens.</w:t>
      </w:r>
    </w:p>
    <w:p w14:paraId="13D0E98C" w14:textId="77777777" w:rsidR="00E24FD5" w:rsidRPr="00A169C2" w:rsidRDefault="00E24FD5" w:rsidP="00E24FD5">
      <w:pPr>
        <w:ind w:left="708"/>
        <w:jc w:val="both"/>
        <w:rPr>
          <w:rFonts w:eastAsiaTheme="minorEastAsia" w:cs="Times New Roman"/>
        </w:rPr>
      </w:pPr>
      <w:r w:rsidRPr="00A169C2">
        <w:rPr>
          <w:rFonts w:eastAsiaTheme="minorEastAsia" w:cs="Times New Roman"/>
          <w:b/>
          <w:bCs/>
        </w:rPr>
        <w:t>2.2. Enseigner par la collection, collectionner l’enseignement</w:t>
      </w:r>
      <w:r w:rsidRPr="00A169C2">
        <w:rPr>
          <w:rFonts w:eastAsiaTheme="minorEastAsia" w:cs="Times New Roman"/>
        </w:rPr>
        <w:t xml:space="preserve"> vise à décrire et à comprendre la place des collections dans les activités d’enseignement passées et présentes.</w:t>
      </w:r>
    </w:p>
    <w:p w14:paraId="3B3BF68C" w14:textId="77777777" w:rsidR="00E24FD5" w:rsidRPr="00A169C2" w:rsidRDefault="00E24FD5" w:rsidP="00E24FD5">
      <w:pPr>
        <w:jc w:val="both"/>
        <w:rPr>
          <w:rFonts w:cs="Times New Roman"/>
        </w:rPr>
      </w:pPr>
    </w:p>
    <w:p w14:paraId="066E1A0D" w14:textId="77777777" w:rsidR="00E24FD5" w:rsidRPr="001E4DE0" w:rsidRDefault="00E24FD5" w:rsidP="001E4DE0">
      <w:pPr>
        <w:pStyle w:val="Contenudetableau"/>
        <w:snapToGrid w:val="0"/>
        <w:spacing w:line="276" w:lineRule="auto"/>
        <w:jc w:val="both"/>
        <w:rPr>
          <w:rFonts w:cs="Times New Roman"/>
          <w:b/>
          <w:bCs/>
          <w:sz w:val="28"/>
        </w:rPr>
      </w:pPr>
      <w:r w:rsidRPr="001E4DE0">
        <w:rPr>
          <w:rFonts w:cs="Times New Roman"/>
          <w:b/>
          <w:bCs/>
          <w:sz w:val="28"/>
        </w:rPr>
        <w:t>Soumission d’un projet</w:t>
      </w:r>
    </w:p>
    <w:p w14:paraId="48EA193F" w14:textId="77777777" w:rsidR="00E24FD5" w:rsidRPr="00D8359A" w:rsidRDefault="00E24FD5" w:rsidP="003A1E48">
      <w:pPr>
        <w:pBdr>
          <w:top w:val="single" w:sz="4" w:space="1" w:color="auto"/>
          <w:left w:val="single" w:sz="4" w:space="4" w:color="auto"/>
          <w:bottom w:val="single" w:sz="4" w:space="1" w:color="auto"/>
          <w:right w:val="single" w:sz="4" w:space="4" w:color="auto"/>
        </w:pBdr>
        <w:jc w:val="both"/>
        <w:rPr>
          <w:rFonts w:cs="Times New Roman"/>
          <w:b/>
          <w:bCs/>
          <w:u w:val="single"/>
        </w:rPr>
      </w:pPr>
      <w:r w:rsidRPr="00D8359A">
        <w:rPr>
          <w:rFonts w:cs="Times New Roman"/>
          <w:b/>
          <w:bCs/>
          <w:u w:val="single"/>
        </w:rPr>
        <w:t>Argumentaire scientifique – 1 page maximum</w:t>
      </w:r>
    </w:p>
    <w:p w14:paraId="57D76C63" w14:textId="724E6ED5" w:rsidR="00E24FD5" w:rsidRDefault="00E24FD5" w:rsidP="003A1E48">
      <w:pPr>
        <w:pBdr>
          <w:top w:val="single" w:sz="4" w:space="1" w:color="auto"/>
          <w:left w:val="single" w:sz="4" w:space="4" w:color="auto"/>
          <w:bottom w:val="single" w:sz="4" w:space="1" w:color="auto"/>
          <w:right w:val="single" w:sz="4" w:space="4" w:color="auto"/>
        </w:pBdr>
        <w:spacing w:after="120"/>
        <w:jc w:val="both"/>
        <w:rPr>
          <w:rFonts w:cs="Times New Roman"/>
        </w:rPr>
      </w:pPr>
      <w:r w:rsidRPr="00A169C2">
        <w:rPr>
          <w:rFonts w:cs="Times New Roman"/>
        </w:rPr>
        <w:t>Préciser</w:t>
      </w:r>
      <w:r>
        <w:rPr>
          <w:rFonts w:cs="Times New Roman"/>
        </w:rPr>
        <w:t xml:space="preserve"> : </w:t>
      </w:r>
      <w:r w:rsidRPr="00A169C2">
        <w:rPr>
          <w:rFonts w:cs="Times New Roman"/>
        </w:rPr>
        <w:t>l’objet de la recherche, les enjeux et la démarche scientifique, les sources</w:t>
      </w:r>
      <w:r>
        <w:rPr>
          <w:rFonts w:cs="Times New Roman"/>
        </w:rPr>
        <w:t> </w:t>
      </w:r>
      <w:r w:rsidRPr="00A169C2">
        <w:rPr>
          <w:rFonts w:cs="Times New Roman"/>
        </w:rPr>
        <w:t>; s’il s’agit d’un projet nouveau ou inscrit dans le prolongement d’une recherche en cours ; le(s) axe(s) du GPR dans le(s)quel(s) il s’inscrit prioritairement.</w:t>
      </w:r>
    </w:p>
    <w:p w14:paraId="45FEDAC3" w14:textId="5D1B4E91" w:rsidR="003A1E48" w:rsidRDefault="003A1E48" w:rsidP="00314BEB">
      <w:pPr>
        <w:pBdr>
          <w:top w:val="single" w:sz="4" w:space="1" w:color="auto"/>
          <w:left w:val="single" w:sz="4" w:space="4" w:color="auto"/>
          <w:bottom w:val="single" w:sz="4" w:space="1" w:color="auto"/>
          <w:right w:val="single" w:sz="4" w:space="4" w:color="auto"/>
        </w:pBdr>
        <w:jc w:val="both"/>
        <w:rPr>
          <w:rFonts w:cs="Times New Roman"/>
        </w:rPr>
      </w:pPr>
    </w:p>
    <w:p w14:paraId="7BA207CF" w14:textId="12128910" w:rsidR="003A1E48" w:rsidRDefault="003A1E48" w:rsidP="00314BEB">
      <w:pPr>
        <w:pBdr>
          <w:top w:val="single" w:sz="4" w:space="1" w:color="auto"/>
          <w:left w:val="single" w:sz="4" w:space="4" w:color="auto"/>
          <w:bottom w:val="single" w:sz="4" w:space="1" w:color="auto"/>
          <w:right w:val="single" w:sz="4" w:space="4" w:color="auto"/>
        </w:pBdr>
        <w:jc w:val="both"/>
        <w:rPr>
          <w:rFonts w:cs="Times New Roman"/>
        </w:rPr>
      </w:pPr>
    </w:p>
    <w:p w14:paraId="6C20DDD6" w14:textId="77777777" w:rsidR="003A1E48" w:rsidRPr="00227BDE" w:rsidRDefault="003A1E48" w:rsidP="00314BEB">
      <w:pPr>
        <w:pBdr>
          <w:top w:val="single" w:sz="4" w:space="1" w:color="auto"/>
          <w:left w:val="single" w:sz="4" w:space="4" w:color="auto"/>
          <w:bottom w:val="single" w:sz="4" w:space="1" w:color="auto"/>
          <w:right w:val="single" w:sz="4" w:space="4" w:color="auto"/>
        </w:pBdr>
        <w:jc w:val="both"/>
        <w:rPr>
          <w:rFonts w:cs="Times New Roman"/>
          <w:u w:val="single"/>
        </w:rPr>
      </w:pPr>
    </w:p>
    <w:p w14:paraId="38D1E657" w14:textId="77777777" w:rsidR="003A1E48" w:rsidRDefault="003A1E48" w:rsidP="003A1E48">
      <w:pPr>
        <w:jc w:val="both"/>
        <w:rPr>
          <w:rFonts w:cs="Times New Roman"/>
          <w:u w:val="single"/>
        </w:rPr>
      </w:pPr>
    </w:p>
    <w:p w14:paraId="0E9866C9" w14:textId="77777777" w:rsidR="006A2E70" w:rsidRPr="00D8359A" w:rsidRDefault="006A2E70" w:rsidP="006A2E70">
      <w:pPr>
        <w:pBdr>
          <w:top w:val="single" w:sz="4" w:space="1" w:color="auto"/>
          <w:left w:val="single" w:sz="4" w:space="4" w:color="auto"/>
          <w:bottom w:val="single" w:sz="4" w:space="1" w:color="auto"/>
          <w:right w:val="single" w:sz="4" w:space="4" w:color="auto"/>
        </w:pBdr>
        <w:jc w:val="both"/>
        <w:rPr>
          <w:rFonts w:cs="Times New Roman"/>
          <w:b/>
          <w:bCs/>
          <w:u w:val="single"/>
        </w:rPr>
      </w:pPr>
      <w:r w:rsidRPr="00D8359A">
        <w:rPr>
          <w:rFonts w:cs="Times New Roman"/>
          <w:b/>
          <w:bCs/>
          <w:u w:val="single"/>
        </w:rPr>
        <w:t>Équipe du projet</w:t>
      </w:r>
    </w:p>
    <w:p w14:paraId="07ABE299" w14:textId="77777777" w:rsidR="006A2E70" w:rsidRDefault="006A2E70" w:rsidP="006A2E70">
      <w:pPr>
        <w:pBdr>
          <w:top w:val="single" w:sz="4" w:space="1" w:color="auto"/>
          <w:left w:val="single" w:sz="4" w:space="4" w:color="auto"/>
          <w:bottom w:val="single" w:sz="4" w:space="1" w:color="auto"/>
          <w:right w:val="single" w:sz="4" w:space="4" w:color="auto"/>
        </w:pBdr>
        <w:spacing w:after="120"/>
        <w:jc w:val="both"/>
        <w:rPr>
          <w:rFonts w:cs="Times New Roman"/>
        </w:rPr>
      </w:pPr>
      <w:r w:rsidRPr="00A169C2">
        <w:rPr>
          <w:rFonts w:cs="Times New Roman"/>
        </w:rPr>
        <w:t>Préciser le statut, le rattachement institutionnel et la participation concrète et effective de chaque chercheuse ou chercheur impliqué dans le projet.</w:t>
      </w:r>
    </w:p>
    <w:p w14:paraId="354F3BA2" w14:textId="3BAF81D4" w:rsidR="003A1E48" w:rsidRDefault="003A1E48" w:rsidP="00314BEB">
      <w:pPr>
        <w:pBdr>
          <w:top w:val="single" w:sz="4" w:space="1" w:color="auto"/>
          <w:left w:val="single" w:sz="4" w:space="4" w:color="auto"/>
          <w:bottom w:val="single" w:sz="4" w:space="1" w:color="auto"/>
          <w:right w:val="single" w:sz="4" w:space="4" w:color="auto"/>
        </w:pBdr>
        <w:jc w:val="both"/>
        <w:rPr>
          <w:rFonts w:cs="Times New Roman"/>
        </w:rPr>
      </w:pPr>
    </w:p>
    <w:p w14:paraId="571482E6" w14:textId="48EE8613" w:rsidR="003A1E48" w:rsidRDefault="003A1E48" w:rsidP="00314BEB">
      <w:pPr>
        <w:pBdr>
          <w:top w:val="single" w:sz="4" w:space="1" w:color="auto"/>
          <w:left w:val="single" w:sz="4" w:space="4" w:color="auto"/>
          <w:bottom w:val="single" w:sz="4" w:space="1" w:color="auto"/>
          <w:right w:val="single" w:sz="4" w:space="4" w:color="auto"/>
        </w:pBdr>
        <w:jc w:val="both"/>
        <w:rPr>
          <w:rFonts w:cs="Times New Roman"/>
        </w:rPr>
      </w:pPr>
    </w:p>
    <w:p w14:paraId="019A5C8D" w14:textId="77777777" w:rsidR="003A1E48" w:rsidRPr="00A169C2" w:rsidRDefault="003A1E48" w:rsidP="00314BEB">
      <w:pPr>
        <w:pBdr>
          <w:top w:val="single" w:sz="4" w:space="1" w:color="auto"/>
          <w:left w:val="single" w:sz="4" w:space="4" w:color="auto"/>
          <w:bottom w:val="single" w:sz="4" w:space="1" w:color="auto"/>
          <w:right w:val="single" w:sz="4" w:space="4" w:color="auto"/>
        </w:pBdr>
        <w:jc w:val="both"/>
        <w:rPr>
          <w:rFonts w:cs="Times New Roman"/>
        </w:rPr>
      </w:pPr>
    </w:p>
    <w:p w14:paraId="004F786E" w14:textId="77777777" w:rsidR="003A1E48" w:rsidRPr="00314BEB" w:rsidRDefault="003A1E48" w:rsidP="00E24FD5">
      <w:pPr>
        <w:jc w:val="both"/>
        <w:rPr>
          <w:rFonts w:cs="Times New Roman"/>
        </w:rPr>
      </w:pPr>
    </w:p>
    <w:p w14:paraId="4044B214" w14:textId="77777777" w:rsidR="006A2E70" w:rsidRPr="00D8359A" w:rsidRDefault="006A2E70" w:rsidP="006A2E70">
      <w:pPr>
        <w:pBdr>
          <w:top w:val="single" w:sz="4" w:space="1" w:color="auto"/>
          <w:left w:val="single" w:sz="4" w:space="4" w:color="auto"/>
          <w:bottom w:val="single" w:sz="4" w:space="1" w:color="auto"/>
          <w:right w:val="single" w:sz="4" w:space="4" w:color="auto"/>
        </w:pBdr>
        <w:jc w:val="both"/>
        <w:rPr>
          <w:rFonts w:cs="Times New Roman"/>
          <w:b/>
          <w:bCs/>
          <w:u w:val="single"/>
        </w:rPr>
      </w:pPr>
      <w:r w:rsidRPr="00D8359A">
        <w:rPr>
          <w:rFonts w:cs="Times New Roman"/>
          <w:b/>
          <w:bCs/>
          <w:u w:val="single"/>
        </w:rPr>
        <w:t>Calendrier de réalisation sur 12 mois</w:t>
      </w:r>
    </w:p>
    <w:p w14:paraId="2670747F" w14:textId="77777777" w:rsidR="006A2E70" w:rsidRDefault="006A2E70" w:rsidP="006A2E70">
      <w:pPr>
        <w:pBdr>
          <w:top w:val="single" w:sz="4" w:space="1" w:color="auto"/>
          <w:left w:val="single" w:sz="4" w:space="4" w:color="auto"/>
          <w:bottom w:val="single" w:sz="4" w:space="1" w:color="auto"/>
          <w:right w:val="single" w:sz="4" w:space="4" w:color="auto"/>
        </w:pBdr>
        <w:spacing w:after="120"/>
        <w:jc w:val="both"/>
        <w:rPr>
          <w:rFonts w:cs="Times New Roman"/>
        </w:rPr>
      </w:pPr>
      <w:r w:rsidRPr="00A169C2">
        <w:rPr>
          <w:rFonts w:cs="Times New Roman"/>
        </w:rPr>
        <w:t>Préciser les éléments sur lesquels pourra se fonder l’évaluation du projet (manifestation scientifique, publication…).</w:t>
      </w:r>
    </w:p>
    <w:p w14:paraId="664EC043" w14:textId="7632C884" w:rsidR="003A1E48" w:rsidRDefault="003A1E48" w:rsidP="00314BEB">
      <w:pPr>
        <w:pBdr>
          <w:top w:val="single" w:sz="4" w:space="1" w:color="auto"/>
          <w:left w:val="single" w:sz="4" w:space="4" w:color="auto"/>
          <w:bottom w:val="single" w:sz="4" w:space="1" w:color="auto"/>
          <w:right w:val="single" w:sz="4" w:space="4" w:color="auto"/>
        </w:pBdr>
        <w:jc w:val="both"/>
        <w:rPr>
          <w:rFonts w:cs="Times New Roman"/>
        </w:rPr>
      </w:pPr>
    </w:p>
    <w:p w14:paraId="15436BAA" w14:textId="77777777" w:rsidR="003A1E48" w:rsidRDefault="003A1E48" w:rsidP="00314BEB">
      <w:pPr>
        <w:pBdr>
          <w:top w:val="single" w:sz="4" w:space="1" w:color="auto"/>
          <w:left w:val="single" w:sz="4" w:space="4" w:color="auto"/>
          <w:bottom w:val="single" w:sz="4" w:space="1" w:color="auto"/>
          <w:right w:val="single" w:sz="4" w:space="4" w:color="auto"/>
        </w:pBdr>
        <w:jc w:val="both"/>
        <w:rPr>
          <w:rFonts w:cs="Times New Roman"/>
        </w:rPr>
      </w:pPr>
    </w:p>
    <w:p w14:paraId="5899D8D8" w14:textId="77777777" w:rsidR="003A1E48" w:rsidRPr="00314BEB" w:rsidRDefault="003A1E48" w:rsidP="00E24FD5">
      <w:pPr>
        <w:spacing w:after="120"/>
        <w:jc w:val="both"/>
        <w:rPr>
          <w:rFonts w:cs="Times New Roman"/>
        </w:rPr>
      </w:pPr>
    </w:p>
    <w:p w14:paraId="4C872B2B" w14:textId="77777777" w:rsidR="00E24FD5" w:rsidRPr="00D8359A" w:rsidRDefault="00E24FD5" w:rsidP="003A1E48">
      <w:pPr>
        <w:pBdr>
          <w:top w:val="single" w:sz="4" w:space="1" w:color="auto"/>
          <w:left w:val="single" w:sz="4" w:space="4" w:color="auto"/>
          <w:bottom w:val="single" w:sz="4" w:space="1" w:color="auto"/>
          <w:right w:val="single" w:sz="4" w:space="4" w:color="auto"/>
        </w:pBdr>
        <w:jc w:val="both"/>
        <w:rPr>
          <w:rFonts w:cs="Times New Roman"/>
          <w:b/>
          <w:bCs/>
          <w:u w:val="single"/>
        </w:rPr>
      </w:pPr>
      <w:r w:rsidRPr="00D8359A">
        <w:rPr>
          <w:rFonts w:cs="Times New Roman"/>
          <w:b/>
          <w:bCs/>
          <w:u w:val="single"/>
        </w:rPr>
        <w:t>Financement</w:t>
      </w:r>
    </w:p>
    <w:p w14:paraId="788FFBEA" w14:textId="56860809" w:rsidR="00E24FD5" w:rsidRDefault="00E24FD5" w:rsidP="003A1E48">
      <w:pPr>
        <w:pBdr>
          <w:top w:val="single" w:sz="4" w:space="1" w:color="auto"/>
          <w:left w:val="single" w:sz="4" w:space="4" w:color="auto"/>
          <w:bottom w:val="single" w:sz="4" w:space="1" w:color="auto"/>
          <w:right w:val="single" w:sz="4" w:space="4" w:color="auto"/>
        </w:pBdr>
        <w:jc w:val="both"/>
        <w:rPr>
          <w:rFonts w:cs="Times New Roman"/>
        </w:rPr>
      </w:pPr>
      <w:r w:rsidRPr="00227BDE">
        <w:rPr>
          <w:rFonts w:cs="Times New Roman"/>
        </w:rPr>
        <w:t>Préciser la nature des dépenses (organisation d’événements scientifiques, missions sortantes ou entrantes, prestations externes, aide à la publication) ; préciser les co-financements éventuels (impératifs dans le cas d’un partenariat avec une équipe de recherche ou un établissement extérieur au périmètre du GPR).</w:t>
      </w:r>
    </w:p>
    <w:p w14:paraId="6EEF32B5" w14:textId="69794A1B" w:rsidR="003A1E48" w:rsidRDefault="003A1E48" w:rsidP="003A1E48">
      <w:pPr>
        <w:pBdr>
          <w:top w:val="single" w:sz="4" w:space="1" w:color="auto"/>
          <w:left w:val="single" w:sz="4" w:space="4" w:color="auto"/>
          <w:bottom w:val="single" w:sz="4" w:space="1" w:color="auto"/>
          <w:right w:val="single" w:sz="4" w:space="4" w:color="auto"/>
        </w:pBdr>
        <w:jc w:val="both"/>
        <w:rPr>
          <w:rFonts w:cs="Times New Roman"/>
        </w:rPr>
      </w:pPr>
    </w:p>
    <w:p w14:paraId="6D1CCD7D" w14:textId="050432E5" w:rsidR="003A1E48" w:rsidRDefault="003A1E48" w:rsidP="003A1E48">
      <w:pPr>
        <w:pBdr>
          <w:top w:val="single" w:sz="4" w:space="1" w:color="auto"/>
          <w:left w:val="single" w:sz="4" w:space="4" w:color="auto"/>
          <w:bottom w:val="single" w:sz="4" w:space="1" w:color="auto"/>
          <w:right w:val="single" w:sz="4" w:space="4" w:color="auto"/>
        </w:pBdr>
        <w:jc w:val="both"/>
        <w:rPr>
          <w:rFonts w:cs="Times New Roman"/>
        </w:rPr>
      </w:pPr>
    </w:p>
    <w:p w14:paraId="0D211FAF" w14:textId="77777777" w:rsidR="003A1E48" w:rsidRPr="00227BDE" w:rsidRDefault="003A1E48" w:rsidP="003A1E48">
      <w:pPr>
        <w:pBdr>
          <w:top w:val="single" w:sz="4" w:space="1" w:color="auto"/>
          <w:left w:val="single" w:sz="4" w:space="4" w:color="auto"/>
          <w:bottom w:val="single" w:sz="4" w:space="1" w:color="auto"/>
          <w:right w:val="single" w:sz="4" w:space="4" w:color="auto"/>
        </w:pBdr>
        <w:jc w:val="both"/>
        <w:rPr>
          <w:rFonts w:cs="Times New Roman"/>
        </w:rPr>
      </w:pPr>
    </w:p>
    <w:p w14:paraId="086E7A61" w14:textId="2A1AAA41" w:rsidR="008A241C" w:rsidRDefault="008A241C" w:rsidP="00E24FD5">
      <w:pPr>
        <w:pStyle w:val="Contenudetableau"/>
        <w:snapToGrid w:val="0"/>
        <w:spacing w:line="276" w:lineRule="auto"/>
        <w:jc w:val="both"/>
        <w:rPr>
          <w:rFonts w:cs="Times New Roman"/>
          <w:sz w:val="20"/>
          <w:szCs w:val="20"/>
        </w:rPr>
      </w:pPr>
    </w:p>
    <w:p w14:paraId="13A6A790" w14:textId="77777777" w:rsidR="00761B6F" w:rsidRPr="001E4DE0" w:rsidRDefault="00761B6F" w:rsidP="00761B6F">
      <w:pPr>
        <w:pStyle w:val="Contenudetableau"/>
        <w:snapToGrid w:val="0"/>
        <w:spacing w:line="276" w:lineRule="auto"/>
        <w:jc w:val="both"/>
        <w:rPr>
          <w:rFonts w:cs="Times New Roman"/>
          <w:b/>
          <w:bCs/>
          <w:sz w:val="28"/>
        </w:rPr>
      </w:pPr>
      <w:r w:rsidRPr="001E4DE0">
        <w:rPr>
          <w:rFonts w:cs="Times New Roman"/>
          <w:b/>
          <w:bCs/>
          <w:sz w:val="28"/>
        </w:rPr>
        <w:t>Dépenses éligibles</w:t>
      </w:r>
    </w:p>
    <w:p w14:paraId="00439FE1" w14:textId="5D4D01D0" w:rsidR="00023D58" w:rsidRPr="00023D58" w:rsidRDefault="00023D58" w:rsidP="00023D58">
      <w:pPr>
        <w:pStyle w:val="Paragraphedeliste"/>
        <w:numPr>
          <w:ilvl w:val="0"/>
          <w:numId w:val="17"/>
        </w:numPr>
        <w:jc w:val="both"/>
        <w:rPr>
          <w:rFonts w:cs="Times New Roman"/>
        </w:rPr>
      </w:pPr>
      <w:r w:rsidRPr="00023D58">
        <w:rPr>
          <w:rFonts w:cs="Times New Roman"/>
        </w:rPr>
        <w:t>o</w:t>
      </w:r>
      <w:r w:rsidR="00761B6F" w:rsidRPr="00023D58">
        <w:rPr>
          <w:rFonts w:cs="Times New Roman"/>
        </w:rPr>
        <w:t>rganisation d’événements scientifiques</w:t>
      </w:r>
      <w:r w:rsidR="006A2E70">
        <w:rPr>
          <w:rFonts w:cs="Times New Roman"/>
        </w:rPr>
        <w:t>,</w:t>
      </w:r>
    </w:p>
    <w:p w14:paraId="7B77043E" w14:textId="612634A2" w:rsidR="00761B6F" w:rsidRPr="00023D58" w:rsidRDefault="00761B6F" w:rsidP="00023D58">
      <w:pPr>
        <w:pStyle w:val="Paragraphedeliste"/>
        <w:numPr>
          <w:ilvl w:val="0"/>
          <w:numId w:val="17"/>
        </w:numPr>
        <w:jc w:val="both"/>
        <w:rPr>
          <w:rFonts w:cs="Times New Roman"/>
        </w:rPr>
      </w:pPr>
      <w:r w:rsidRPr="00023D58">
        <w:rPr>
          <w:rFonts w:cs="Times New Roman"/>
        </w:rPr>
        <w:t>missions sortantes ou entrantes</w:t>
      </w:r>
      <w:r w:rsidR="006A2E70">
        <w:rPr>
          <w:rFonts w:cs="Times New Roman"/>
        </w:rPr>
        <w:t>,</w:t>
      </w:r>
    </w:p>
    <w:p w14:paraId="1FEAC2ED" w14:textId="5A9DE1AB" w:rsidR="00761B6F" w:rsidRPr="00023D58" w:rsidRDefault="00761B6F" w:rsidP="00023D58">
      <w:pPr>
        <w:pStyle w:val="Paragraphedeliste"/>
        <w:numPr>
          <w:ilvl w:val="0"/>
          <w:numId w:val="17"/>
        </w:numPr>
        <w:jc w:val="both"/>
        <w:rPr>
          <w:rFonts w:cs="Times New Roman"/>
        </w:rPr>
      </w:pPr>
      <w:r w:rsidRPr="00023D58">
        <w:rPr>
          <w:rFonts w:cs="Times New Roman"/>
        </w:rPr>
        <w:t>petites prestations externes (numérisation) et aides à la publication sont éligibles, mais elles ne doivent pas représenter plus de 50 % du montant financé</w:t>
      </w:r>
      <w:r w:rsidR="006A2E70">
        <w:rPr>
          <w:rFonts w:cs="Times New Roman"/>
        </w:rPr>
        <w:t>.</w:t>
      </w:r>
    </w:p>
    <w:p w14:paraId="0C44B014" w14:textId="1CFF7DB6" w:rsidR="00761B6F" w:rsidRPr="00A169C2" w:rsidRDefault="00761B6F" w:rsidP="00761B6F">
      <w:pPr>
        <w:jc w:val="both"/>
        <w:rPr>
          <w:rFonts w:cs="Times New Roman"/>
        </w:rPr>
      </w:pPr>
      <w:r w:rsidRPr="00A169C2">
        <w:rPr>
          <w:rFonts w:cs="Times New Roman"/>
        </w:rPr>
        <w:t xml:space="preserve">L’enveloppe totale allouée aux projets blancs est de </w:t>
      </w:r>
      <w:r w:rsidR="00023D58">
        <w:rPr>
          <w:rFonts w:cs="Times New Roman"/>
        </w:rPr>
        <w:t>3</w:t>
      </w:r>
      <w:r w:rsidRPr="00A169C2">
        <w:rPr>
          <w:rFonts w:cs="Times New Roman"/>
        </w:rPr>
        <w:t>0</w:t>
      </w:r>
      <w:r w:rsidR="00023D58">
        <w:rPr>
          <w:rFonts w:cs="Times New Roman"/>
        </w:rPr>
        <w:t> </w:t>
      </w:r>
      <w:r w:rsidRPr="00A169C2">
        <w:rPr>
          <w:rFonts w:cs="Times New Roman"/>
        </w:rPr>
        <w:t>000</w:t>
      </w:r>
      <w:r w:rsidR="00023D58">
        <w:rPr>
          <w:rFonts w:cs="Times New Roman"/>
        </w:rPr>
        <w:t> </w:t>
      </w:r>
      <w:r w:rsidRPr="00A169C2">
        <w:rPr>
          <w:rFonts w:cs="Times New Roman"/>
        </w:rPr>
        <w:t>euros par année universitaire.</w:t>
      </w:r>
    </w:p>
    <w:p w14:paraId="4223A8A9" w14:textId="77777777" w:rsidR="00761B6F" w:rsidRPr="00A169C2" w:rsidRDefault="00761B6F" w:rsidP="00761B6F">
      <w:pPr>
        <w:jc w:val="both"/>
        <w:rPr>
          <w:rFonts w:cs="Times New Roman"/>
        </w:rPr>
      </w:pPr>
    </w:p>
    <w:p w14:paraId="6D0A3A7A" w14:textId="77777777" w:rsidR="00761B6F" w:rsidRPr="001E4DE0" w:rsidRDefault="00761B6F" w:rsidP="00761B6F">
      <w:pPr>
        <w:pStyle w:val="Contenudetableau"/>
        <w:snapToGrid w:val="0"/>
        <w:spacing w:line="276" w:lineRule="auto"/>
        <w:jc w:val="both"/>
        <w:rPr>
          <w:rFonts w:cs="Times New Roman"/>
          <w:b/>
          <w:bCs/>
          <w:sz w:val="28"/>
        </w:rPr>
      </w:pPr>
      <w:r w:rsidRPr="001E4DE0">
        <w:rPr>
          <w:rFonts w:cs="Times New Roman"/>
          <w:b/>
          <w:bCs/>
          <w:sz w:val="28"/>
        </w:rPr>
        <w:t>Procédure de sélection</w:t>
      </w:r>
    </w:p>
    <w:p w14:paraId="3C72476B" w14:textId="23A3A1BD" w:rsidR="00761B6F" w:rsidRDefault="00761B6F" w:rsidP="00761B6F">
      <w:pPr>
        <w:jc w:val="both"/>
        <w:rPr>
          <w:rFonts w:cs="Times New Roman"/>
        </w:rPr>
      </w:pPr>
      <w:r w:rsidRPr="00A169C2">
        <w:rPr>
          <w:rFonts w:cs="Times New Roman"/>
        </w:rPr>
        <w:t>Les projets financés seront choisis par le conseil scientifique du GPR</w:t>
      </w:r>
      <w:r w:rsidR="00EA032F">
        <w:rPr>
          <w:rFonts w:cs="Times New Roman"/>
        </w:rPr>
        <w:t xml:space="preserve"> Faire collection</w:t>
      </w:r>
      <w:r w:rsidRPr="00A169C2">
        <w:rPr>
          <w:rFonts w:cs="Times New Roman"/>
        </w:rPr>
        <w:t xml:space="preserve"> en fonction de leur adéquation au programme scientifique du projet. Les projets qui rassemblent plusieurs équipes, établissements ou structures documentaires membres du GPR seront valorisées.</w:t>
      </w:r>
    </w:p>
    <w:p w14:paraId="51F7FBF1" w14:textId="5EBB8FF5" w:rsidR="00761B6F" w:rsidRDefault="00761B6F" w:rsidP="00761B6F">
      <w:pPr>
        <w:jc w:val="both"/>
        <w:rPr>
          <w:rFonts w:cs="Times New Roman"/>
        </w:rPr>
      </w:pPr>
      <w:r>
        <w:rPr>
          <w:rFonts w:cs="Times New Roman"/>
        </w:rPr>
        <w:t xml:space="preserve">La sélection sera finalisée </w:t>
      </w:r>
      <w:r w:rsidR="00EA032F">
        <w:rPr>
          <w:rFonts w:cs="Times New Roman"/>
        </w:rPr>
        <w:t>à l’issue de</w:t>
      </w:r>
      <w:r>
        <w:rPr>
          <w:rFonts w:cs="Times New Roman"/>
        </w:rPr>
        <w:t xml:space="preserve"> la journée du 13 juin 2025 lors de laquelle chaque proposition fera l’objet d’une présentation orale dans le cadre de la journée de lancement du GPR Faire collection, en présence de son conseil scientifique.</w:t>
      </w:r>
    </w:p>
    <w:p w14:paraId="671CABCE" w14:textId="77777777" w:rsidR="00761B6F" w:rsidRPr="00A169C2" w:rsidRDefault="00761B6F" w:rsidP="00761B6F">
      <w:pPr>
        <w:jc w:val="both"/>
        <w:rPr>
          <w:rFonts w:cs="Times New Roman"/>
        </w:rPr>
      </w:pPr>
    </w:p>
    <w:p w14:paraId="5C024BAA" w14:textId="072A9955" w:rsidR="00E24FD5" w:rsidRDefault="00E24FD5" w:rsidP="00E24FD5">
      <w:pPr>
        <w:pStyle w:val="Contenudetableau"/>
        <w:snapToGrid w:val="0"/>
        <w:spacing w:line="276" w:lineRule="auto"/>
        <w:jc w:val="both"/>
        <w:rPr>
          <w:rFonts w:cs="Times New Roman"/>
          <w:b/>
          <w:bCs/>
          <w:sz w:val="28"/>
        </w:rPr>
      </w:pPr>
      <w:r w:rsidRPr="001E4DE0">
        <w:rPr>
          <w:rFonts w:cs="Times New Roman"/>
          <w:b/>
          <w:bCs/>
          <w:sz w:val="28"/>
        </w:rPr>
        <w:t>Calendrier</w:t>
      </w:r>
    </w:p>
    <w:p w14:paraId="26675233" w14:textId="49A65CFB" w:rsidR="00761B6F" w:rsidRDefault="00761B6F" w:rsidP="00761B6F">
      <w:pPr>
        <w:pStyle w:val="Contenudetableau"/>
        <w:numPr>
          <w:ilvl w:val="0"/>
          <w:numId w:val="14"/>
        </w:numPr>
        <w:snapToGrid w:val="0"/>
        <w:spacing w:line="276" w:lineRule="auto"/>
        <w:jc w:val="both"/>
        <w:rPr>
          <w:rFonts w:cs="Times New Roman"/>
        </w:rPr>
      </w:pPr>
      <w:r>
        <w:rPr>
          <w:rFonts w:cs="Times New Roman"/>
        </w:rPr>
        <w:t xml:space="preserve">Envoi des propositions à </w:t>
      </w:r>
      <w:hyperlink r:id="rId8" w:history="1">
        <w:r w:rsidRPr="0091417A">
          <w:rPr>
            <w:rStyle w:val="Lienhypertexte"/>
            <w:rFonts w:cs="Times New Roman"/>
          </w:rPr>
          <w:t>virginie.durand@ens.psl.eu</w:t>
        </w:r>
      </w:hyperlink>
      <w:r>
        <w:rPr>
          <w:rFonts w:cs="Times New Roman"/>
        </w:rPr>
        <w:t xml:space="preserve"> avant le </w:t>
      </w:r>
      <w:r w:rsidRPr="00761B6F">
        <w:rPr>
          <w:rFonts w:cs="Times New Roman"/>
          <w:b/>
          <w:bCs/>
        </w:rPr>
        <w:t>mercredi 4</w:t>
      </w:r>
      <w:r w:rsidR="00455A7B">
        <w:rPr>
          <w:rFonts w:cs="Times New Roman"/>
          <w:b/>
          <w:bCs/>
        </w:rPr>
        <w:t> </w:t>
      </w:r>
      <w:r w:rsidRPr="00761B6F">
        <w:rPr>
          <w:rFonts w:cs="Times New Roman"/>
          <w:b/>
          <w:bCs/>
        </w:rPr>
        <w:t>juin 18h</w:t>
      </w:r>
      <w:r>
        <w:rPr>
          <w:rFonts w:cs="Times New Roman"/>
        </w:rPr>
        <w:t>.</w:t>
      </w:r>
    </w:p>
    <w:p w14:paraId="474DD7AE" w14:textId="6BB3FBE9" w:rsidR="00761B6F" w:rsidRDefault="00761B6F" w:rsidP="00761B6F">
      <w:pPr>
        <w:pStyle w:val="Contenudetableau"/>
        <w:numPr>
          <w:ilvl w:val="0"/>
          <w:numId w:val="14"/>
        </w:numPr>
        <w:snapToGrid w:val="0"/>
        <w:spacing w:line="276" w:lineRule="auto"/>
        <w:jc w:val="both"/>
        <w:rPr>
          <w:rFonts w:cs="Times New Roman"/>
        </w:rPr>
      </w:pPr>
      <w:r>
        <w:rPr>
          <w:rFonts w:cs="Times New Roman"/>
        </w:rPr>
        <w:t xml:space="preserve">Présentation orale du projet le </w:t>
      </w:r>
      <w:r w:rsidRPr="00761B6F">
        <w:rPr>
          <w:rFonts w:cs="Times New Roman"/>
          <w:b/>
          <w:bCs/>
        </w:rPr>
        <w:t>vendredi 13</w:t>
      </w:r>
      <w:r w:rsidR="00455A7B">
        <w:rPr>
          <w:rFonts w:cs="Times New Roman"/>
          <w:b/>
          <w:bCs/>
        </w:rPr>
        <w:t> </w:t>
      </w:r>
      <w:r w:rsidRPr="00761B6F">
        <w:rPr>
          <w:rFonts w:cs="Times New Roman"/>
          <w:b/>
          <w:bCs/>
        </w:rPr>
        <w:t>juin 2025</w:t>
      </w:r>
      <w:r>
        <w:rPr>
          <w:rFonts w:cs="Times New Roman"/>
        </w:rPr>
        <w:t>.</w:t>
      </w:r>
    </w:p>
    <w:p w14:paraId="751F80B6" w14:textId="36FBDE68" w:rsidR="00761B6F" w:rsidRPr="00761B6F" w:rsidRDefault="00761B6F" w:rsidP="00761B6F">
      <w:pPr>
        <w:pStyle w:val="Contenudetableau"/>
        <w:numPr>
          <w:ilvl w:val="0"/>
          <w:numId w:val="14"/>
        </w:numPr>
        <w:snapToGrid w:val="0"/>
        <w:spacing w:line="276" w:lineRule="auto"/>
        <w:jc w:val="both"/>
        <w:rPr>
          <w:rFonts w:cs="Times New Roman"/>
        </w:rPr>
      </w:pPr>
      <w:r>
        <w:rPr>
          <w:rFonts w:cs="Times New Roman"/>
        </w:rPr>
        <w:t xml:space="preserve">Début des activités financées courant </w:t>
      </w:r>
      <w:r w:rsidRPr="00761B6F">
        <w:rPr>
          <w:rFonts w:cs="Times New Roman"/>
          <w:b/>
          <w:bCs/>
        </w:rPr>
        <w:t>septembre 2025</w:t>
      </w:r>
      <w:r>
        <w:rPr>
          <w:rFonts w:cs="Times New Roman"/>
        </w:rPr>
        <w:t>.</w:t>
      </w:r>
    </w:p>
    <w:sectPr w:rsidR="00761B6F" w:rsidRPr="00761B6F" w:rsidSect="00974B26">
      <w:headerReference w:type="even" r:id="rId9"/>
      <w:headerReference w:type="default" r:id="rId10"/>
      <w:footerReference w:type="even" r:id="rId11"/>
      <w:footerReference w:type="default" r:id="rId12"/>
      <w:headerReference w:type="first" r:id="rId13"/>
      <w:footerReference w:type="first" r:id="rId14"/>
      <w:type w:val="continuous"/>
      <w:pgSz w:w="11905" w:h="16837" w:code="9"/>
      <w:pgMar w:top="284" w:right="1134" w:bottom="1134" w:left="1134" w:header="567" w:footer="2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6201FA" w14:textId="77777777" w:rsidR="00237490" w:rsidRDefault="00237490" w:rsidP="00C5713B">
      <w:r>
        <w:separator/>
      </w:r>
    </w:p>
  </w:endnote>
  <w:endnote w:type="continuationSeparator" w:id="0">
    <w:p w14:paraId="2FB4F5CA" w14:textId="77777777" w:rsidR="00237490" w:rsidRDefault="00237490" w:rsidP="00C571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6B5A4" w14:textId="77777777" w:rsidR="00587535" w:rsidRDefault="00587535" w:rsidP="00FD1735">
    <w:pPr>
      <w:pStyle w:val="Pieddepage"/>
      <w:framePr w:wrap="around" w:vAnchor="text" w:hAnchor="margin" w:xAlign="right" w:y="1"/>
      <w:rPr>
        <w:rStyle w:val="Numrodepage"/>
      </w:rPr>
    </w:pPr>
    <w:r>
      <w:rPr>
        <w:rStyle w:val="Numrodepage"/>
      </w:rPr>
      <w:fldChar w:fldCharType="begin"/>
    </w:r>
    <w:r w:rsidR="00A824CC">
      <w:rPr>
        <w:rStyle w:val="Numrodepage"/>
      </w:rPr>
      <w:instrText>PAGE</w:instrText>
    </w:r>
    <w:r>
      <w:rPr>
        <w:rStyle w:val="Numrodepage"/>
      </w:rPr>
      <w:instrText xml:space="preserve">  </w:instrText>
    </w:r>
    <w:r>
      <w:rPr>
        <w:rStyle w:val="Numrodepage"/>
      </w:rPr>
      <w:fldChar w:fldCharType="end"/>
    </w:r>
  </w:p>
  <w:p w14:paraId="49034233" w14:textId="77777777" w:rsidR="00587535" w:rsidRDefault="00587535" w:rsidP="00A5712E">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78AB2" w14:textId="6B90359E" w:rsidR="00242E94" w:rsidRPr="00242E94" w:rsidRDefault="00242E94" w:rsidP="00242E94">
    <w:pPr>
      <w:tabs>
        <w:tab w:val="center" w:pos="4550"/>
        <w:tab w:val="left" w:pos="5818"/>
      </w:tabs>
      <w:ind w:right="260"/>
      <w:jc w:val="right"/>
      <w:rPr>
        <w:rFonts w:cs="Times New Roman"/>
        <w:color w:val="222A35" w:themeColor="text2" w:themeShade="80"/>
        <w:sz w:val="20"/>
        <w:szCs w:val="20"/>
      </w:rPr>
    </w:pPr>
    <w:r w:rsidRPr="00242E94">
      <w:rPr>
        <w:rFonts w:cs="Times New Roman"/>
        <w:color w:val="000000"/>
        <w:sz w:val="20"/>
        <w:szCs w:val="20"/>
      </w:rPr>
      <w:t xml:space="preserve">À envoyer à </w:t>
    </w:r>
    <w:hyperlink r:id="rId1" w:history="1">
      <w:r w:rsidRPr="00242E94">
        <w:rPr>
          <w:rStyle w:val="Lienhypertexte"/>
          <w:rFonts w:cs="Times New Roman"/>
          <w:sz w:val="20"/>
          <w:szCs w:val="20"/>
        </w:rPr>
        <w:t>virginie.durand@ens.psl.eu</w:t>
      </w:r>
    </w:hyperlink>
    <w:r w:rsidRPr="00242E94">
      <w:rPr>
        <w:rFonts w:cs="Times New Roman"/>
        <w:color w:val="000000"/>
        <w:sz w:val="20"/>
        <w:szCs w:val="20"/>
      </w:rPr>
      <w:t xml:space="preserve"> avant </w:t>
    </w:r>
    <w:r w:rsidR="00213E83">
      <w:rPr>
        <w:rFonts w:cs="Times New Roman"/>
        <w:color w:val="000000"/>
        <w:sz w:val="20"/>
        <w:szCs w:val="20"/>
      </w:rPr>
      <w:t xml:space="preserve">le </w:t>
    </w:r>
    <w:r w:rsidR="008B7C04">
      <w:rPr>
        <w:rFonts w:cs="Times New Roman"/>
        <w:color w:val="000000"/>
        <w:sz w:val="20"/>
        <w:szCs w:val="20"/>
      </w:rPr>
      <w:t>4</w:t>
    </w:r>
    <w:r w:rsidR="00213E83">
      <w:rPr>
        <w:rFonts w:cs="Times New Roman"/>
        <w:color w:val="000000"/>
        <w:sz w:val="20"/>
        <w:szCs w:val="20"/>
      </w:rPr>
      <w:t> </w:t>
    </w:r>
    <w:r w:rsidR="008B7C04">
      <w:rPr>
        <w:rFonts w:cs="Times New Roman"/>
        <w:color w:val="000000"/>
        <w:sz w:val="20"/>
        <w:szCs w:val="20"/>
      </w:rPr>
      <w:t>juin 2025 18h</w:t>
    </w:r>
    <w:r w:rsidRPr="00242E94">
      <w:rPr>
        <w:rFonts w:cs="Times New Roman"/>
        <w:color w:val="000000"/>
        <w:sz w:val="20"/>
        <w:szCs w:val="20"/>
      </w:rPr>
      <w:tab/>
    </w:r>
    <w:r w:rsidRPr="00242E94">
      <w:rPr>
        <w:rFonts w:cs="Times New Roman"/>
        <w:color w:val="000000"/>
        <w:sz w:val="20"/>
        <w:szCs w:val="20"/>
      </w:rPr>
      <w:tab/>
    </w:r>
    <w:r w:rsidRPr="00242E94">
      <w:rPr>
        <w:rFonts w:cs="Times New Roman"/>
        <w:color w:val="8496B0" w:themeColor="text2" w:themeTint="99"/>
        <w:spacing w:val="60"/>
        <w:sz w:val="20"/>
        <w:szCs w:val="20"/>
      </w:rPr>
      <w:t>Page</w:t>
    </w:r>
    <w:r w:rsidRPr="00242E94">
      <w:rPr>
        <w:rFonts w:cs="Times New Roman"/>
        <w:color w:val="8496B0" w:themeColor="text2" w:themeTint="99"/>
        <w:sz w:val="20"/>
        <w:szCs w:val="20"/>
      </w:rPr>
      <w:t xml:space="preserve"> </w:t>
    </w:r>
    <w:r w:rsidRPr="00242E94">
      <w:rPr>
        <w:rFonts w:cs="Times New Roman"/>
        <w:color w:val="323E4F" w:themeColor="text2" w:themeShade="BF"/>
        <w:sz w:val="20"/>
        <w:szCs w:val="20"/>
      </w:rPr>
      <w:fldChar w:fldCharType="begin"/>
    </w:r>
    <w:r w:rsidRPr="00242E94">
      <w:rPr>
        <w:rFonts w:cs="Times New Roman"/>
        <w:color w:val="323E4F" w:themeColor="text2" w:themeShade="BF"/>
        <w:sz w:val="20"/>
        <w:szCs w:val="20"/>
      </w:rPr>
      <w:instrText>PAGE   \* MERGEFORMAT</w:instrText>
    </w:r>
    <w:r w:rsidRPr="00242E94">
      <w:rPr>
        <w:rFonts w:cs="Times New Roman"/>
        <w:color w:val="323E4F" w:themeColor="text2" w:themeShade="BF"/>
        <w:sz w:val="20"/>
        <w:szCs w:val="20"/>
      </w:rPr>
      <w:fldChar w:fldCharType="separate"/>
    </w:r>
    <w:r w:rsidRPr="00242E94">
      <w:rPr>
        <w:rFonts w:cs="Times New Roman"/>
        <w:color w:val="323E4F" w:themeColor="text2" w:themeShade="BF"/>
        <w:sz w:val="20"/>
        <w:szCs w:val="20"/>
      </w:rPr>
      <w:t>1</w:t>
    </w:r>
    <w:r w:rsidRPr="00242E94">
      <w:rPr>
        <w:rFonts w:cs="Times New Roman"/>
        <w:color w:val="323E4F" w:themeColor="text2" w:themeShade="BF"/>
        <w:sz w:val="20"/>
        <w:szCs w:val="20"/>
      </w:rPr>
      <w:fldChar w:fldCharType="end"/>
    </w:r>
    <w:r w:rsidRPr="00242E94">
      <w:rPr>
        <w:rFonts w:cs="Times New Roman"/>
        <w:color w:val="323E4F" w:themeColor="text2" w:themeShade="BF"/>
        <w:sz w:val="20"/>
        <w:szCs w:val="20"/>
      </w:rPr>
      <w:t xml:space="preserve"> | </w:t>
    </w:r>
    <w:r w:rsidRPr="00242E94">
      <w:rPr>
        <w:rFonts w:cs="Times New Roman"/>
        <w:color w:val="323E4F" w:themeColor="text2" w:themeShade="BF"/>
        <w:sz w:val="20"/>
        <w:szCs w:val="20"/>
      </w:rPr>
      <w:fldChar w:fldCharType="begin"/>
    </w:r>
    <w:r w:rsidRPr="00242E94">
      <w:rPr>
        <w:rFonts w:cs="Times New Roman"/>
        <w:color w:val="323E4F" w:themeColor="text2" w:themeShade="BF"/>
        <w:sz w:val="20"/>
        <w:szCs w:val="20"/>
      </w:rPr>
      <w:instrText>NUMPAGES  \* Arabic  \* MERGEFORMAT</w:instrText>
    </w:r>
    <w:r w:rsidRPr="00242E94">
      <w:rPr>
        <w:rFonts w:cs="Times New Roman"/>
        <w:color w:val="323E4F" w:themeColor="text2" w:themeShade="BF"/>
        <w:sz w:val="20"/>
        <w:szCs w:val="20"/>
      </w:rPr>
      <w:fldChar w:fldCharType="separate"/>
    </w:r>
    <w:r w:rsidRPr="00242E94">
      <w:rPr>
        <w:rFonts w:cs="Times New Roman"/>
        <w:color w:val="323E4F" w:themeColor="text2" w:themeShade="BF"/>
        <w:sz w:val="20"/>
        <w:szCs w:val="20"/>
      </w:rPr>
      <w:t>1</w:t>
    </w:r>
    <w:r w:rsidRPr="00242E94">
      <w:rPr>
        <w:rFonts w:cs="Times New Roman"/>
        <w:color w:val="323E4F" w:themeColor="text2" w:themeShade="BF"/>
        <w:sz w:val="20"/>
        <w:szCs w:val="20"/>
      </w:rPr>
      <w:fldChar w:fldCharType="end"/>
    </w:r>
  </w:p>
  <w:p w14:paraId="5AAADB1C" w14:textId="77777777" w:rsidR="00587535" w:rsidRDefault="00587535">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62F3F" w14:textId="77777777" w:rsidR="00213E83" w:rsidRDefault="00213E8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2BE494" w14:textId="77777777" w:rsidR="00237490" w:rsidRDefault="00237490" w:rsidP="00C5713B">
      <w:r>
        <w:separator/>
      </w:r>
    </w:p>
  </w:footnote>
  <w:footnote w:type="continuationSeparator" w:id="0">
    <w:p w14:paraId="109E5570" w14:textId="77777777" w:rsidR="00237490" w:rsidRDefault="00237490" w:rsidP="00C571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12305" w14:textId="77777777" w:rsidR="00213E83" w:rsidRDefault="00213E83">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27D2A" w14:textId="12C498DA" w:rsidR="00587535" w:rsidRDefault="0004701F" w:rsidP="00CD6955">
    <w:pPr>
      <w:pStyle w:val="En-tte"/>
      <w:rPr>
        <w:b/>
        <w:sz w:val="28"/>
      </w:rPr>
    </w:pPr>
    <w:r>
      <w:rPr>
        <w:b/>
        <w:noProof/>
        <w:sz w:val="28"/>
      </w:rPr>
      <w:drawing>
        <wp:inline distT="0" distB="0" distL="0" distR="0" wp14:anchorId="0AB5BDB6" wp14:editId="615BFD2B">
          <wp:extent cx="1196146" cy="492968"/>
          <wp:effectExtent l="0" t="0" r="4445" b="254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a:stretch>
                    <a:fillRect/>
                  </a:stretch>
                </pic:blipFill>
                <pic:spPr>
                  <a:xfrm>
                    <a:off x="0" y="0"/>
                    <a:ext cx="1214985" cy="500732"/>
                  </a:xfrm>
                  <a:prstGeom prst="rect">
                    <a:avLst/>
                  </a:prstGeom>
                </pic:spPr>
              </pic:pic>
            </a:graphicData>
          </a:graphic>
        </wp:inline>
      </w:drawing>
    </w:r>
  </w:p>
  <w:p w14:paraId="25FCAE54" w14:textId="77777777" w:rsidR="00AA1928" w:rsidRPr="00A4783F" w:rsidRDefault="00AA1928" w:rsidP="00CD6955">
    <w:pPr>
      <w:pStyle w:val="En-tte"/>
      <w:rPr>
        <w:b/>
        <w:sz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7A2E1" w14:textId="77777777" w:rsidR="00213E83" w:rsidRDefault="00213E83">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8E446BE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8473B82"/>
    <w:multiLevelType w:val="hybridMultilevel"/>
    <w:tmpl w:val="6B60DB4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0CE5F97"/>
    <w:multiLevelType w:val="hybridMultilevel"/>
    <w:tmpl w:val="FEE8CCAC"/>
    <w:lvl w:ilvl="0" w:tplc="040C000B">
      <w:start w:val="1"/>
      <w:numFmt w:val="bullet"/>
      <w:lvlText w:val=""/>
      <w:lvlJc w:val="left"/>
      <w:pPr>
        <w:ind w:left="720" w:hanging="360"/>
      </w:pPr>
      <w:rPr>
        <w:rFonts w:ascii="Wingdings" w:hAnsi="Wingding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4B17C9D"/>
    <w:multiLevelType w:val="hybridMultilevel"/>
    <w:tmpl w:val="C444E524"/>
    <w:lvl w:ilvl="0" w:tplc="040C0001">
      <w:start w:val="1"/>
      <w:numFmt w:val="bullet"/>
      <w:lvlText w:val=""/>
      <w:lvlJc w:val="left"/>
      <w:pPr>
        <w:ind w:left="72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AE03BC5"/>
    <w:multiLevelType w:val="hybridMultilevel"/>
    <w:tmpl w:val="42901CE6"/>
    <w:lvl w:ilvl="0" w:tplc="B60A29EA">
      <w:numFmt w:val="bullet"/>
      <w:lvlText w:val=""/>
      <w:lvlJc w:val="left"/>
      <w:pPr>
        <w:ind w:left="600" w:hanging="360"/>
      </w:pPr>
      <w:rPr>
        <w:rFonts w:ascii="Wingdings" w:eastAsia="SimSun" w:hAnsi="Wingdings" w:cs="Arial" w:hint="default"/>
      </w:rPr>
    </w:lvl>
    <w:lvl w:ilvl="1" w:tplc="040C0003" w:tentative="1">
      <w:start w:val="1"/>
      <w:numFmt w:val="bullet"/>
      <w:lvlText w:val="o"/>
      <w:lvlJc w:val="left"/>
      <w:pPr>
        <w:ind w:left="1320" w:hanging="360"/>
      </w:pPr>
      <w:rPr>
        <w:rFonts w:ascii="Courier New" w:hAnsi="Courier New" w:cs="Courier New" w:hint="default"/>
      </w:rPr>
    </w:lvl>
    <w:lvl w:ilvl="2" w:tplc="040C0005" w:tentative="1">
      <w:start w:val="1"/>
      <w:numFmt w:val="bullet"/>
      <w:lvlText w:val=""/>
      <w:lvlJc w:val="left"/>
      <w:pPr>
        <w:ind w:left="2040" w:hanging="360"/>
      </w:pPr>
      <w:rPr>
        <w:rFonts w:ascii="Wingdings" w:hAnsi="Wingdings" w:hint="default"/>
      </w:rPr>
    </w:lvl>
    <w:lvl w:ilvl="3" w:tplc="040C0001" w:tentative="1">
      <w:start w:val="1"/>
      <w:numFmt w:val="bullet"/>
      <w:lvlText w:val=""/>
      <w:lvlJc w:val="left"/>
      <w:pPr>
        <w:ind w:left="2760" w:hanging="360"/>
      </w:pPr>
      <w:rPr>
        <w:rFonts w:ascii="Symbol" w:hAnsi="Symbol" w:hint="default"/>
      </w:rPr>
    </w:lvl>
    <w:lvl w:ilvl="4" w:tplc="040C0003" w:tentative="1">
      <w:start w:val="1"/>
      <w:numFmt w:val="bullet"/>
      <w:lvlText w:val="o"/>
      <w:lvlJc w:val="left"/>
      <w:pPr>
        <w:ind w:left="3480" w:hanging="360"/>
      </w:pPr>
      <w:rPr>
        <w:rFonts w:ascii="Courier New" w:hAnsi="Courier New" w:cs="Courier New" w:hint="default"/>
      </w:rPr>
    </w:lvl>
    <w:lvl w:ilvl="5" w:tplc="040C0005" w:tentative="1">
      <w:start w:val="1"/>
      <w:numFmt w:val="bullet"/>
      <w:lvlText w:val=""/>
      <w:lvlJc w:val="left"/>
      <w:pPr>
        <w:ind w:left="4200" w:hanging="360"/>
      </w:pPr>
      <w:rPr>
        <w:rFonts w:ascii="Wingdings" w:hAnsi="Wingdings" w:hint="default"/>
      </w:rPr>
    </w:lvl>
    <w:lvl w:ilvl="6" w:tplc="040C0001" w:tentative="1">
      <w:start w:val="1"/>
      <w:numFmt w:val="bullet"/>
      <w:lvlText w:val=""/>
      <w:lvlJc w:val="left"/>
      <w:pPr>
        <w:ind w:left="4920" w:hanging="360"/>
      </w:pPr>
      <w:rPr>
        <w:rFonts w:ascii="Symbol" w:hAnsi="Symbol" w:hint="default"/>
      </w:rPr>
    </w:lvl>
    <w:lvl w:ilvl="7" w:tplc="040C0003" w:tentative="1">
      <w:start w:val="1"/>
      <w:numFmt w:val="bullet"/>
      <w:lvlText w:val="o"/>
      <w:lvlJc w:val="left"/>
      <w:pPr>
        <w:ind w:left="5640" w:hanging="360"/>
      </w:pPr>
      <w:rPr>
        <w:rFonts w:ascii="Courier New" w:hAnsi="Courier New" w:cs="Courier New" w:hint="default"/>
      </w:rPr>
    </w:lvl>
    <w:lvl w:ilvl="8" w:tplc="040C0005" w:tentative="1">
      <w:start w:val="1"/>
      <w:numFmt w:val="bullet"/>
      <w:lvlText w:val=""/>
      <w:lvlJc w:val="left"/>
      <w:pPr>
        <w:ind w:left="6360" w:hanging="360"/>
      </w:pPr>
      <w:rPr>
        <w:rFonts w:ascii="Wingdings" w:hAnsi="Wingdings" w:hint="default"/>
      </w:rPr>
    </w:lvl>
  </w:abstractNum>
  <w:abstractNum w:abstractNumId="5" w15:restartNumberingAfterBreak="0">
    <w:nsid w:val="1F0B0E04"/>
    <w:multiLevelType w:val="hybridMultilevel"/>
    <w:tmpl w:val="F1EA4DE8"/>
    <w:lvl w:ilvl="0" w:tplc="36B87826">
      <w:numFmt w:val="bullet"/>
      <w:lvlText w:val="-"/>
      <w:lvlJc w:val="left"/>
      <w:pPr>
        <w:tabs>
          <w:tab w:val="num" w:pos="720"/>
        </w:tabs>
        <w:ind w:left="720" w:hanging="360"/>
      </w:pPr>
      <w:rPr>
        <w:rFonts w:ascii="Arial" w:eastAsia="Times New Roman" w:hAnsi="Arial" w:cs="Calibri" w:hint="default"/>
      </w:rPr>
    </w:lvl>
    <w:lvl w:ilvl="1" w:tplc="040C0001">
      <w:start w:val="1"/>
      <w:numFmt w:val="bullet"/>
      <w:lvlText w:val=""/>
      <w:lvlJc w:val="left"/>
      <w:pPr>
        <w:tabs>
          <w:tab w:val="num" w:pos="1440"/>
        </w:tabs>
        <w:ind w:left="1440" w:hanging="360"/>
      </w:pPr>
      <w:rPr>
        <w:rFonts w:ascii="Symbol" w:hAnsi="Symbo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Symbo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Symbo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5AE39FB"/>
    <w:multiLevelType w:val="hybridMultilevel"/>
    <w:tmpl w:val="25D6E798"/>
    <w:lvl w:ilvl="0" w:tplc="AF26DC8E">
      <w:start w:val="1"/>
      <w:numFmt w:val="bullet"/>
      <w:lvlText w:val="o"/>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1CA5012"/>
    <w:multiLevelType w:val="hybridMultilevel"/>
    <w:tmpl w:val="0C186F42"/>
    <w:lvl w:ilvl="0" w:tplc="8C54E590">
      <w:start w:val="1"/>
      <w:numFmt w:val="bullet"/>
      <w:lvlText w:val=""/>
      <w:lvlJc w:val="left"/>
      <w:pPr>
        <w:ind w:left="720" w:hanging="360"/>
      </w:pPr>
      <w:rPr>
        <w:rFonts w:ascii="Wingdings" w:hAnsi="Wingdings" w:hint="default"/>
        <w:sz w:val="3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541E37"/>
    <w:multiLevelType w:val="hybridMultilevel"/>
    <w:tmpl w:val="6AFE2640"/>
    <w:lvl w:ilvl="0" w:tplc="4580C92E">
      <w:numFmt w:val="bullet"/>
      <w:lvlText w:val="-"/>
      <w:lvlJc w:val="left"/>
      <w:pPr>
        <w:tabs>
          <w:tab w:val="num" w:pos="720"/>
        </w:tabs>
        <w:ind w:left="720" w:hanging="360"/>
      </w:pPr>
      <w:rPr>
        <w:rFonts w:ascii="Arial" w:eastAsia="SimSun" w:hAnsi="Arial" w:cs="Calibri" w:hint="default"/>
      </w:rPr>
    </w:lvl>
    <w:lvl w:ilvl="1" w:tplc="040C0003" w:tentative="1">
      <w:start w:val="1"/>
      <w:numFmt w:val="bullet"/>
      <w:lvlText w:val="o"/>
      <w:lvlJc w:val="left"/>
      <w:pPr>
        <w:tabs>
          <w:tab w:val="num" w:pos="1440"/>
        </w:tabs>
        <w:ind w:left="1440" w:hanging="360"/>
      </w:pPr>
      <w:rPr>
        <w:rFonts w:ascii="Courier New" w:hAnsi="Courier New" w:cs="Symbo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Symbo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Symbo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E57414E"/>
    <w:multiLevelType w:val="hybridMultilevel"/>
    <w:tmpl w:val="0C4658AE"/>
    <w:lvl w:ilvl="0" w:tplc="8C54E590">
      <w:start w:val="1"/>
      <w:numFmt w:val="bullet"/>
      <w:lvlText w:val=""/>
      <w:lvlJc w:val="left"/>
      <w:pPr>
        <w:ind w:left="720" w:hanging="360"/>
      </w:pPr>
      <w:rPr>
        <w:rFonts w:ascii="Wingdings" w:hAnsi="Wingdings" w:hint="default"/>
        <w:sz w:val="32"/>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A474B3D"/>
    <w:multiLevelType w:val="hybridMultilevel"/>
    <w:tmpl w:val="6658D42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6F00653"/>
    <w:multiLevelType w:val="hybridMultilevel"/>
    <w:tmpl w:val="9872D9E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578714B2"/>
    <w:multiLevelType w:val="hybridMultilevel"/>
    <w:tmpl w:val="4B7C24A8"/>
    <w:lvl w:ilvl="0" w:tplc="B6C8B0FE">
      <w:start w:val="10"/>
      <w:numFmt w:val="bullet"/>
      <w:lvlText w:val=""/>
      <w:lvlJc w:val="left"/>
      <w:pPr>
        <w:tabs>
          <w:tab w:val="num" w:pos="360"/>
        </w:tabs>
        <w:ind w:left="360" w:hanging="360"/>
      </w:pPr>
      <w:rPr>
        <w:rFonts w:ascii="Symbol" w:hAnsi="Symbol" w:hint="default"/>
        <w:b w:val="0"/>
        <w:i w:val="0"/>
        <w:sz w:val="16"/>
        <w:szCs w:val="16"/>
      </w:rPr>
    </w:lvl>
    <w:lvl w:ilvl="1" w:tplc="040C0003">
      <w:start w:val="1"/>
      <w:numFmt w:val="bullet"/>
      <w:lvlText w:val="o"/>
      <w:lvlJc w:val="left"/>
      <w:pPr>
        <w:tabs>
          <w:tab w:val="num" w:pos="1440"/>
        </w:tabs>
        <w:ind w:left="1440" w:hanging="360"/>
      </w:pPr>
      <w:rPr>
        <w:rFonts w:ascii="Courier New" w:hAnsi="Courier New" w:cs="Symbo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Symbo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Symbo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9D800E4"/>
    <w:multiLevelType w:val="hybridMultilevel"/>
    <w:tmpl w:val="A064ADA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705419FB"/>
    <w:multiLevelType w:val="hybridMultilevel"/>
    <w:tmpl w:val="DA22F220"/>
    <w:lvl w:ilvl="0" w:tplc="AF26DC8E">
      <w:start w:val="1"/>
      <w:numFmt w:val="bullet"/>
      <w:lvlText w:val="o"/>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5" w15:restartNumberingAfterBreak="0">
    <w:nsid w:val="7594062F"/>
    <w:multiLevelType w:val="hybridMultilevel"/>
    <w:tmpl w:val="B4080BA4"/>
    <w:lvl w:ilvl="0" w:tplc="E0F6F84A">
      <w:start w:val="1"/>
      <w:numFmt w:val="bullet"/>
      <w:lvlText w:val=""/>
      <w:lvlJc w:val="left"/>
      <w:pPr>
        <w:ind w:left="720" w:hanging="360"/>
      </w:pPr>
      <w:rPr>
        <w:rFonts w:ascii="Wingdings" w:hAnsi="Wingdings" w:hint="default"/>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D6014BA"/>
    <w:multiLevelType w:val="hybridMultilevel"/>
    <w:tmpl w:val="2A46394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2"/>
  </w:num>
  <w:num w:numId="2">
    <w:abstractNumId w:val="8"/>
  </w:num>
  <w:num w:numId="3">
    <w:abstractNumId w:val="5"/>
  </w:num>
  <w:num w:numId="4">
    <w:abstractNumId w:val="0"/>
  </w:num>
  <w:num w:numId="5">
    <w:abstractNumId w:val="6"/>
  </w:num>
  <w:num w:numId="6">
    <w:abstractNumId w:val="4"/>
  </w:num>
  <w:num w:numId="7">
    <w:abstractNumId w:val="14"/>
  </w:num>
  <w:num w:numId="8">
    <w:abstractNumId w:val="15"/>
  </w:num>
  <w:num w:numId="9">
    <w:abstractNumId w:val="9"/>
  </w:num>
  <w:num w:numId="10">
    <w:abstractNumId w:val="7"/>
  </w:num>
  <w:num w:numId="11">
    <w:abstractNumId w:val="16"/>
  </w:num>
  <w:num w:numId="12">
    <w:abstractNumId w:val="13"/>
  </w:num>
  <w:num w:numId="13">
    <w:abstractNumId w:val="1"/>
  </w:num>
  <w:num w:numId="14">
    <w:abstractNumId w:val="10"/>
  </w:num>
  <w:num w:numId="15">
    <w:abstractNumId w:val="11"/>
  </w:num>
  <w:num w:numId="16">
    <w:abstractNumId w:val="2"/>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B61"/>
    <w:rsid w:val="0000266F"/>
    <w:rsid w:val="0000491A"/>
    <w:rsid w:val="00023D58"/>
    <w:rsid w:val="00031F8F"/>
    <w:rsid w:val="000340BF"/>
    <w:rsid w:val="00036C44"/>
    <w:rsid w:val="0004701F"/>
    <w:rsid w:val="00047FE0"/>
    <w:rsid w:val="0006323C"/>
    <w:rsid w:val="00070773"/>
    <w:rsid w:val="00070E94"/>
    <w:rsid w:val="00084762"/>
    <w:rsid w:val="000A2E71"/>
    <w:rsid w:val="000C3734"/>
    <w:rsid w:val="000E58DD"/>
    <w:rsid w:val="000E799E"/>
    <w:rsid w:val="000F215E"/>
    <w:rsid w:val="00100BAA"/>
    <w:rsid w:val="00101B61"/>
    <w:rsid w:val="00102DDB"/>
    <w:rsid w:val="0010654E"/>
    <w:rsid w:val="00107359"/>
    <w:rsid w:val="00113D9C"/>
    <w:rsid w:val="00116EE3"/>
    <w:rsid w:val="00117FED"/>
    <w:rsid w:val="00131C19"/>
    <w:rsid w:val="00152FD4"/>
    <w:rsid w:val="00166159"/>
    <w:rsid w:val="001661A7"/>
    <w:rsid w:val="001760B0"/>
    <w:rsid w:val="001803BF"/>
    <w:rsid w:val="00190AFC"/>
    <w:rsid w:val="00197CD3"/>
    <w:rsid w:val="001A6903"/>
    <w:rsid w:val="001A7EB8"/>
    <w:rsid w:val="001B0E19"/>
    <w:rsid w:val="001C1873"/>
    <w:rsid w:val="001D18F3"/>
    <w:rsid w:val="001E06E9"/>
    <w:rsid w:val="001E1BE2"/>
    <w:rsid w:val="001E3218"/>
    <w:rsid w:val="001E4DE0"/>
    <w:rsid w:val="00213E1D"/>
    <w:rsid w:val="00213E83"/>
    <w:rsid w:val="00237490"/>
    <w:rsid w:val="00242E94"/>
    <w:rsid w:val="00246D8C"/>
    <w:rsid w:val="00247979"/>
    <w:rsid w:val="002677EA"/>
    <w:rsid w:val="00272F50"/>
    <w:rsid w:val="00275519"/>
    <w:rsid w:val="0028031A"/>
    <w:rsid w:val="00281637"/>
    <w:rsid w:val="00285A0D"/>
    <w:rsid w:val="00290911"/>
    <w:rsid w:val="00294957"/>
    <w:rsid w:val="002B2341"/>
    <w:rsid w:val="002B695B"/>
    <w:rsid w:val="002F05C6"/>
    <w:rsid w:val="002F1255"/>
    <w:rsid w:val="002F4A04"/>
    <w:rsid w:val="0031131F"/>
    <w:rsid w:val="00314BEB"/>
    <w:rsid w:val="00317496"/>
    <w:rsid w:val="00323571"/>
    <w:rsid w:val="003238B2"/>
    <w:rsid w:val="00325D95"/>
    <w:rsid w:val="00343E6D"/>
    <w:rsid w:val="00346D82"/>
    <w:rsid w:val="00353C90"/>
    <w:rsid w:val="00374EAC"/>
    <w:rsid w:val="003A1E48"/>
    <w:rsid w:val="003A25FC"/>
    <w:rsid w:val="003A45FA"/>
    <w:rsid w:val="003A6812"/>
    <w:rsid w:val="003C43E6"/>
    <w:rsid w:val="003C7DAC"/>
    <w:rsid w:val="003D5C4A"/>
    <w:rsid w:val="003F762E"/>
    <w:rsid w:val="00401D71"/>
    <w:rsid w:val="00427598"/>
    <w:rsid w:val="00455A7B"/>
    <w:rsid w:val="00473E11"/>
    <w:rsid w:val="00482330"/>
    <w:rsid w:val="004826AA"/>
    <w:rsid w:val="00492E23"/>
    <w:rsid w:val="004A3CA0"/>
    <w:rsid w:val="004A7A20"/>
    <w:rsid w:val="004B78B9"/>
    <w:rsid w:val="004C1D65"/>
    <w:rsid w:val="004E6C49"/>
    <w:rsid w:val="004F3AB8"/>
    <w:rsid w:val="00505C0B"/>
    <w:rsid w:val="00515D69"/>
    <w:rsid w:val="00517809"/>
    <w:rsid w:val="005251A3"/>
    <w:rsid w:val="00546FC0"/>
    <w:rsid w:val="00552291"/>
    <w:rsid w:val="00554E58"/>
    <w:rsid w:val="005603E7"/>
    <w:rsid w:val="005628E6"/>
    <w:rsid w:val="005700BD"/>
    <w:rsid w:val="005847E0"/>
    <w:rsid w:val="00587535"/>
    <w:rsid w:val="00593891"/>
    <w:rsid w:val="0059551E"/>
    <w:rsid w:val="00596C51"/>
    <w:rsid w:val="005D3728"/>
    <w:rsid w:val="005E31DB"/>
    <w:rsid w:val="005F00DC"/>
    <w:rsid w:val="005F12BE"/>
    <w:rsid w:val="005F1829"/>
    <w:rsid w:val="005F1F59"/>
    <w:rsid w:val="005F31CC"/>
    <w:rsid w:val="005F382D"/>
    <w:rsid w:val="0061164B"/>
    <w:rsid w:val="00614F0F"/>
    <w:rsid w:val="006155A2"/>
    <w:rsid w:val="0062463B"/>
    <w:rsid w:val="00643F1E"/>
    <w:rsid w:val="00651804"/>
    <w:rsid w:val="0066417A"/>
    <w:rsid w:val="006811D0"/>
    <w:rsid w:val="00683A70"/>
    <w:rsid w:val="006A0A65"/>
    <w:rsid w:val="006A2E70"/>
    <w:rsid w:val="006B1D82"/>
    <w:rsid w:val="006C35A2"/>
    <w:rsid w:val="006C41AB"/>
    <w:rsid w:val="006C5F49"/>
    <w:rsid w:val="006C7F92"/>
    <w:rsid w:val="006F0FB8"/>
    <w:rsid w:val="00700350"/>
    <w:rsid w:val="007065E2"/>
    <w:rsid w:val="007404DB"/>
    <w:rsid w:val="0074052A"/>
    <w:rsid w:val="00743B26"/>
    <w:rsid w:val="00755BC5"/>
    <w:rsid w:val="00761306"/>
    <w:rsid w:val="00761B6F"/>
    <w:rsid w:val="00766EED"/>
    <w:rsid w:val="00781031"/>
    <w:rsid w:val="00796667"/>
    <w:rsid w:val="007A0995"/>
    <w:rsid w:val="007B1E0A"/>
    <w:rsid w:val="007B4B79"/>
    <w:rsid w:val="007B58C2"/>
    <w:rsid w:val="007C088F"/>
    <w:rsid w:val="007C1729"/>
    <w:rsid w:val="007C52CD"/>
    <w:rsid w:val="007E7DC4"/>
    <w:rsid w:val="007E7E01"/>
    <w:rsid w:val="007F7043"/>
    <w:rsid w:val="008029EE"/>
    <w:rsid w:val="00803191"/>
    <w:rsid w:val="00806BA7"/>
    <w:rsid w:val="0081378E"/>
    <w:rsid w:val="00817464"/>
    <w:rsid w:val="008312F1"/>
    <w:rsid w:val="00847089"/>
    <w:rsid w:val="00856B5E"/>
    <w:rsid w:val="0087353C"/>
    <w:rsid w:val="008739F8"/>
    <w:rsid w:val="00885E37"/>
    <w:rsid w:val="008A241C"/>
    <w:rsid w:val="008A34EB"/>
    <w:rsid w:val="008A38D5"/>
    <w:rsid w:val="008A4328"/>
    <w:rsid w:val="008A6E61"/>
    <w:rsid w:val="008B0337"/>
    <w:rsid w:val="008B7C04"/>
    <w:rsid w:val="008C2EA4"/>
    <w:rsid w:val="008E388E"/>
    <w:rsid w:val="008F6CEA"/>
    <w:rsid w:val="00903211"/>
    <w:rsid w:val="009109B4"/>
    <w:rsid w:val="00912DF9"/>
    <w:rsid w:val="00923316"/>
    <w:rsid w:val="00924D42"/>
    <w:rsid w:val="00950F55"/>
    <w:rsid w:val="009537E4"/>
    <w:rsid w:val="00956FCC"/>
    <w:rsid w:val="009627AF"/>
    <w:rsid w:val="00967D10"/>
    <w:rsid w:val="00970508"/>
    <w:rsid w:val="00974B26"/>
    <w:rsid w:val="009772AD"/>
    <w:rsid w:val="009907A9"/>
    <w:rsid w:val="00995745"/>
    <w:rsid w:val="009A2493"/>
    <w:rsid w:val="009D127D"/>
    <w:rsid w:val="009E38C7"/>
    <w:rsid w:val="009F0C9A"/>
    <w:rsid w:val="00A025E2"/>
    <w:rsid w:val="00A131B1"/>
    <w:rsid w:val="00A340B3"/>
    <w:rsid w:val="00A37D4A"/>
    <w:rsid w:val="00A4783F"/>
    <w:rsid w:val="00A51AE5"/>
    <w:rsid w:val="00A5712E"/>
    <w:rsid w:val="00A64CDA"/>
    <w:rsid w:val="00A824CC"/>
    <w:rsid w:val="00A9750E"/>
    <w:rsid w:val="00AA1928"/>
    <w:rsid w:val="00AB2571"/>
    <w:rsid w:val="00AC225E"/>
    <w:rsid w:val="00AD14E7"/>
    <w:rsid w:val="00AD24FB"/>
    <w:rsid w:val="00AD436E"/>
    <w:rsid w:val="00AE0D97"/>
    <w:rsid w:val="00AE275B"/>
    <w:rsid w:val="00AF77B6"/>
    <w:rsid w:val="00B01D66"/>
    <w:rsid w:val="00B1461F"/>
    <w:rsid w:val="00B17B63"/>
    <w:rsid w:val="00B26FEC"/>
    <w:rsid w:val="00B47702"/>
    <w:rsid w:val="00B47BD9"/>
    <w:rsid w:val="00B541D9"/>
    <w:rsid w:val="00B722AC"/>
    <w:rsid w:val="00B827DA"/>
    <w:rsid w:val="00B946A7"/>
    <w:rsid w:val="00BA0D26"/>
    <w:rsid w:val="00BA4496"/>
    <w:rsid w:val="00BA7964"/>
    <w:rsid w:val="00BB3132"/>
    <w:rsid w:val="00BF1645"/>
    <w:rsid w:val="00C15B95"/>
    <w:rsid w:val="00C245CA"/>
    <w:rsid w:val="00C24F74"/>
    <w:rsid w:val="00C43D84"/>
    <w:rsid w:val="00C5321E"/>
    <w:rsid w:val="00C55CDE"/>
    <w:rsid w:val="00C5713B"/>
    <w:rsid w:val="00C75C7E"/>
    <w:rsid w:val="00C763E3"/>
    <w:rsid w:val="00C913AE"/>
    <w:rsid w:val="00C97A83"/>
    <w:rsid w:val="00CA1C3D"/>
    <w:rsid w:val="00CD2A0E"/>
    <w:rsid w:val="00CD6955"/>
    <w:rsid w:val="00CE2118"/>
    <w:rsid w:val="00CE28FF"/>
    <w:rsid w:val="00CE71F4"/>
    <w:rsid w:val="00CF034D"/>
    <w:rsid w:val="00D032E2"/>
    <w:rsid w:val="00D165C2"/>
    <w:rsid w:val="00D30249"/>
    <w:rsid w:val="00D31AA5"/>
    <w:rsid w:val="00D447E3"/>
    <w:rsid w:val="00D46C64"/>
    <w:rsid w:val="00D64F3C"/>
    <w:rsid w:val="00D75FFD"/>
    <w:rsid w:val="00D8359A"/>
    <w:rsid w:val="00DA1978"/>
    <w:rsid w:val="00DA3457"/>
    <w:rsid w:val="00DA6B9E"/>
    <w:rsid w:val="00DA7B11"/>
    <w:rsid w:val="00DB0795"/>
    <w:rsid w:val="00DB3664"/>
    <w:rsid w:val="00DE009E"/>
    <w:rsid w:val="00DF02D0"/>
    <w:rsid w:val="00E22F1E"/>
    <w:rsid w:val="00E24FD5"/>
    <w:rsid w:val="00E31D89"/>
    <w:rsid w:val="00E35053"/>
    <w:rsid w:val="00E432E7"/>
    <w:rsid w:val="00E46350"/>
    <w:rsid w:val="00E54025"/>
    <w:rsid w:val="00E6738D"/>
    <w:rsid w:val="00E913CD"/>
    <w:rsid w:val="00EA032F"/>
    <w:rsid w:val="00EC3C5C"/>
    <w:rsid w:val="00EC5F19"/>
    <w:rsid w:val="00ED114B"/>
    <w:rsid w:val="00ED4DB1"/>
    <w:rsid w:val="00ED51BA"/>
    <w:rsid w:val="00ED5850"/>
    <w:rsid w:val="00EF493F"/>
    <w:rsid w:val="00EF7ED5"/>
    <w:rsid w:val="00F014AC"/>
    <w:rsid w:val="00F01FAA"/>
    <w:rsid w:val="00F03483"/>
    <w:rsid w:val="00F07CFB"/>
    <w:rsid w:val="00F1606C"/>
    <w:rsid w:val="00F27A05"/>
    <w:rsid w:val="00F31F92"/>
    <w:rsid w:val="00F33E56"/>
    <w:rsid w:val="00F35A41"/>
    <w:rsid w:val="00F47BDB"/>
    <w:rsid w:val="00F744F9"/>
    <w:rsid w:val="00F80906"/>
    <w:rsid w:val="00F80A1A"/>
    <w:rsid w:val="00F86197"/>
    <w:rsid w:val="00F9141F"/>
    <w:rsid w:val="00F9209B"/>
    <w:rsid w:val="00FA77B5"/>
    <w:rsid w:val="00FB7622"/>
    <w:rsid w:val="00FC49C0"/>
    <w:rsid w:val="00FC70C0"/>
    <w:rsid w:val="00FD1735"/>
    <w:rsid w:val="00FD33A0"/>
    <w:rsid w:val="00FE7825"/>
    <w:rsid w:val="00FF3D8D"/>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5828D23"/>
  <w15:docId w15:val="{4A834238-8D11-6C46-A9DE-B2D3C68F4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31B1"/>
    <w:pPr>
      <w:widowControl w:val="0"/>
      <w:suppressAutoHyphens/>
    </w:pPr>
    <w:rPr>
      <w:rFonts w:ascii="Times New Roman" w:eastAsia="SimSun" w:hAnsi="Times New Roman" w:cs="Mangal"/>
      <w:kern w:val="1"/>
      <w:sz w:val="24"/>
      <w:szCs w:val="24"/>
      <w:lang w:eastAsia="hi-IN" w:bidi="hi-I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qFormat/>
    <w:rsid w:val="00101B61"/>
    <w:rPr>
      <w:b/>
      <w:bCs/>
    </w:rPr>
  </w:style>
  <w:style w:type="character" w:styleId="Accentuation">
    <w:name w:val="Emphasis"/>
    <w:qFormat/>
    <w:rsid w:val="00101B61"/>
    <w:rPr>
      <w:i/>
      <w:iCs/>
    </w:rPr>
  </w:style>
  <w:style w:type="paragraph" w:styleId="Corpsdetexte">
    <w:name w:val="Body Text"/>
    <w:basedOn w:val="Normal"/>
    <w:link w:val="CorpsdetexteCar"/>
    <w:rsid w:val="00101B61"/>
    <w:pPr>
      <w:spacing w:after="120"/>
    </w:pPr>
  </w:style>
  <w:style w:type="character" w:customStyle="1" w:styleId="CorpsdetexteCar">
    <w:name w:val="Corps de texte Car"/>
    <w:link w:val="Corpsdetexte"/>
    <w:rsid w:val="00101B61"/>
    <w:rPr>
      <w:rFonts w:ascii="Times New Roman" w:eastAsia="SimSun" w:hAnsi="Times New Roman" w:cs="Mangal"/>
      <w:kern w:val="1"/>
      <w:sz w:val="24"/>
      <w:szCs w:val="24"/>
      <w:lang w:eastAsia="hi-IN" w:bidi="hi-IN"/>
    </w:rPr>
  </w:style>
  <w:style w:type="paragraph" w:styleId="En-tte">
    <w:name w:val="header"/>
    <w:basedOn w:val="Normal"/>
    <w:link w:val="En-tteCar"/>
    <w:rsid w:val="00101B61"/>
    <w:pPr>
      <w:tabs>
        <w:tab w:val="center" w:pos="4536"/>
        <w:tab w:val="right" w:pos="9072"/>
      </w:tabs>
    </w:pPr>
  </w:style>
  <w:style w:type="character" w:customStyle="1" w:styleId="En-tteCar">
    <w:name w:val="En-tête Car"/>
    <w:link w:val="En-tte"/>
    <w:rsid w:val="00101B61"/>
    <w:rPr>
      <w:rFonts w:ascii="Times New Roman" w:eastAsia="SimSun" w:hAnsi="Times New Roman" w:cs="Mangal"/>
      <w:kern w:val="1"/>
      <w:sz w:val="24"/>
      <w:szCs w:val="24"/>
      <w:lang w:eastAsia="hi-IN" w:bidi="hi-IN"/>
    </w:rPr>
  </w:style>
  <w:style w:type="paragraph" w:customStyle="1" w:styleId="Contenudetableau">
    <w:name w:val="Contenu de tableau"/>
    <w:basedOn w:val="Normal"/>
    <w:rsid w:val="00101B61"/>
    <w:pPr>
      <w:suppressLineNumbers/>
    </w:pPr>
  </w:style>
  <w:style w:type="paragraph" w:styleId="Pieddepage">
    <w:name w:val="footer"/>
    <w:basedOn w:val="Normal"/>
    <w:link w:val="PieddepageCar"/>
    <w:uiPriority w:val="99"/>
    <w:rsid w:val="00101B61"/>
    <w:pPr>
      <w:suppressLineNumbers/>
      <w:tabs>
        <w:tab w:val="center" w:pos="4819"/>
        <w:tab w:val="right" w:pos="9638"/>
      </w:tabs>
    </w:pPr>
  </w:style>
  <w:style w:type="character" w:customStyle="1" w:styleId="PieddepageCar">
    <w:name w:val="Pied de page Car"/>
    <w:link w:val="Pieddepage"/>
    <w:uiPriority w:val="99"/>
    <w:rsid w:val="00101B61"/>
    <w:rPr>
      <w:rFonts w:ascii="Times New Roman" w:eastAsia="SimSun" w:hAnsi="Times New Roman" w:cs="Mangal"/>
      <w:kern w:val="1"/>
      <w:sz w:val="24"/>
      <w:szCs w:val="24"/>
      <w:lang w:eastAsia="hi-IN" w:bidi="hi-IN"/>
    </w:rPr>
  </w:style>
  <w:style w:type="table" w:styleId="Grilledutableau">
    <w:name w:val="Table Grid"/>
    <w:basedOn w:val="TableauNormal"/>
    <w:uiPriority w:val="39"/>
    <w:rsid w:val="00101B61"/>
    <w:pPr>
      <w:widowControl w:val="0"/>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uiPriority w:val="99"/>
    <w:unhideWhenUsed/>
    <w:rsid w:val="000E799E"/>
    <w:rPr>
      <w:color w:val="0000FF"/>
      <w:u w:val="single"/>
    </w:rPr>
  </w:style>
  <w:style w:type="paragraph" w:styleId="Titre">
    <w:name w:val="Title"/>
    <w:basedOn w:val="Normal"/>
    <w:next w:val="Normal"/>
    <w:link w:val="TitreCar"/>
    <w:uiPriority w:val="10"/>
    <w:qFormat/>
    <w:rsid w:val="00294957"/>
    <w:pPr>
      <w:spacing w:before="240" w:after="60"/>
      <w:jc w:val="center"/>
      <w:outlineLvl w:val="0"/>
    </w:pPr>
    <w:rPr>
      <w:rFonts w:ascii="Calibri" w:eastAsia="MS Gothic" w:hAnsi="Calibri" w:cs="Times New Roman"/>
      <w:b/>
      <w:bCs/>
      <w:kern w:val="28"/>
      <w:sz w:val="32"/>
      <w:szCs w:val="32"/>
    </w:rPr>
  </w:style>
  <w:style w:type="character" w:customStyle="1" w:styleId="TitreCar">
    <w:name w:val="Titre Car"/>
    <w:link w:val="Titre"/>
    <w:uiPriority w:val="10"/>
    <w:rsid w:val="00294957"/>
    <w:rPr>
      <w:rFonts w:ascii="Calibri" w:eastAsia="MS Gothic" w:hAnsi="Calibri" w:cs="Times New Roman"/>
      <w:b/>
      <w:bCs/>
      <w:kern w:val="28"/>
      <w:sz w:val="32"/>
      <w:szCs w:val="32"/>
      <w:lang w:val="fr-FR" w:eastAsia="hi-IN" w:bidi="hi-IN"/>
    </w:rPr>
  </w:style>
  <w:style w:type="character" w:styleId="Lienhypertextesuivivisit">
    <w:name w:val="FollowedHyperlink"/>
    <w:uiPriority w:val="99"/>
    <w:semiHidden/>
    <w:unhideWhenUsed/>
    <w:rsid w:val="001E1BE2"/>
    <w:rPr>
      <w:color w:val="800080"/>
      <w:u w:val="single"/>
    </w:rPr>
  </w:style>
  <w:style w:type="character" w:styleId="Numrodepage">
    <w:name w:val="page number"/>
    <w:uiPriority w:val="99"/>
    <w:semiHidden/>
    <w:unhideWhenUsed/>
    <w:rsid w:val="00A5712E"/>
  </w:style>
  <w:style w:type="paragraph" w:styleId="NormalWeb">
    <w:name w:val="Normal (Web)"/>
    <w:basedOn w:val="Normal"/>
    <w:uiPriority w:val="99"/>
    <w:unhideWhenUsed/>
    <w:rsid w:val="00290911"/>
    <w:pPr>
      <w:widowControl/>
      <w:suppressAutoHyphens w:val="0"/>
      <w:spacing w:before="100" w:beforeAutospacing="1" w:after="100" w:afterAutospacing="1"/>
    </w:pPr>
    <w:rPr>
      <w:rFonts w:ascii="Times" w:eastAsia="MS Mincho" w:hAnsi="Times" w:cs="Times New Roman"/>
      <w:kern w:val="0"/>
      <w:sz w:val="20"/>
      <w:szCs w:val="20"/>
      <w:lang w:eastAsia="fr-FR" w:bidi="ar-SA"/>
    </w:rPr>
  </w:style>
  <w:style w:type="paragraph" w:styleId="Textedebulles">
    <w:name w:val="Balloon Text"/>
    <w:basedOn w:val="Normal"/>
    <w:link w:val="TextedebullesCar"/>
    <w:uiPriority w:val="99"/>
    <w:semiHidden/>
    <w:unhideWhenUsed/>
    <w:rsid w:val="005F1F59"/>
    <w:rPr>
      <w:rFonts w:ascii="Lucida Grande" w:hAnsi="Lucida Grande" w:cs="Lucida Grande"/>
      <w:sz w:val="18"/>
      <w:szCs w:val="18"/>
    </w:rPr>
  </w:style>
  <w:style w:type="character" w:customStyle="1" w:styleId="TextedebullesCar">
    <w:name w:val="Texte de bulles Car"/>
    <w:link w:val="Textedebulles"/>
    <w:uiPriority w:val="99"/>
    <w:semiHidden/>
    <w:rsid w:val="005F1F59"/>
    <w:rPr>
      <w:rFonts w:ascii="Lucida Grande" w:eastAsia="SimSun" w:hAnsi="Lucida Grande" w:cs="Lucida Grande"/>
      <w:kern w:val="1"/>
      <w:sz w:val="18"/>
      <w:szCs w:val="18"/>
      <w:lang w:eastAsia="hi-IN" w:bidi="hi-IN"/>
    </w:rPr>
  </w:style>
  <w:style w:type="table" w:customStyle="1" w:styleId="Grilledutableau1">
    <w:name w:val="Grille du tableau1"/>
    <w:basedOn w:val="TableauNormal"/>
    <w:next w:val="Grilledutableau"/>
    <w:rsid w:val="00213E1D"/>
    <w:pPr>
      <w:widowControl w:val="0"/>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1">
    <w:name w:val="Grille du tableau11"/>
    <w:basedOn w:val="TableauNormal"/>
    <w:next w:val="Grilledutableau"/>
    <w:rsid w:val="005700BD"/>
    <w:pPr>
      <w:widowControl w:val="0"/>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B26FEC"/>
    <w:pPr>
      <w:ind w:left="720"/>
      <w:contextualSpacing/>
    </w:pPr>
    <w:rPr>
      <w:szCs w:val="21"/>
    </w:rPr>
  </w:style>
  <w:style w:type="character" w:customStyle="1" w:styleId="normaltextrun">
    <w:name w:val="normaltextrun"/>
    <w:basedOn w:val="Policepardfaut"/>
    <w:rsid w:val="008A241C"/>
  </w:style>
  <w:style w:type="paragraph" w:customStyle="1" w:styleId="paragraph">
    <w:name w:val="paragraph"/>
    <w:basedOn w:val="Normal"/>
    <w:rsid w:val="008A241C"/>
    <w:pPr>
      <w:widowControl/>
      <w:suppressAutoHyphens w:val="0"/>
      <w:spacing w:beforeAutospacing="1" w:afterAutospacing="1"/>
    </w:pPr>
    <w:rPr>
      <w:rFonts w:eastAsia="Times New Roman" w:cs="Times New Roman"/>
      <w:kern w:val="0"/>
      <w:lang w:val="en-US" w:eastAsia="fr-FR" w:bidi="ar-SA"/>
    </w:rPr>
  </w:style>
  <w:style w:type="character" w:customStyle="1" w:styleId="eop">
    <w:name w:val="eop"/>
    <w:basedOn w:val="Policepardfaut"/>
    <w:rsid w:val="008A241C"/>
  </w:style>
  <w:style w:type="table" w:styleId="Tableausimple4">
    <w:name w:val="Plain Table 4"/>
    <w:basedOn w:val="TableauNormal"/>
    <w:uiPriority w:val="44"/>
    <w:rsid w:val="008A241C"/>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Mentionnonrsolue">
    <w:name w:val="Unresolved Mention"/>
    <w:basedOn w:val="Policepardfaut"/>
    <w:uiPriority w:val="99"/>
    <w:semiHidden/>
    <w:unhideWhenUsed/>
    <w:rsid w:val="006155A2"/>
    <w:rPr>
      <w:color w:val="605E5C"/>
      <w:shd w:val="clear" w:color="auto" w:fill="E1DFDD"/>
    </w:rPr>
  </w:style>
  <w:style w:type="paragraph" w:styleId="Rvision">
    <w:name w:val="Revision"/>
    <w:hidden/>
    <w:uiPriority w:val="99"/>
    <w:semiHidden/>
    <w:rsid w:val="006A2E70"/>
    <w:rPr>
      <w:rFonts w:ascii="Times New Roman" w:eastAsia="SimSun" w:hAnsi="Times New Roman" w:cs="Mangal"/>
      <w:kern w:val="1"/>
      <w:sz w:val="24"/>
      <w:szCs w:val="21"/>
      <w:lang w:eastAsia="hi-IN" w:bidi="hi-IN"/>
    </w:rPr>
  </w:style>
  <w:style w:type="character" w:styleId="Marquedecommentaire">
    <w:name w:val="annotation reference"/>
    <w:basedOn w:val="Policepardfaut"/>
    <w:uiPriority w:val="99"/>
    <w:semiHidden/>
    <w:unhideWhenUsed/>
    <w:rsid w:val="00F86197"/>
    <w:rPr>
      <w:sz w:val="16"/>
      <w:szCs w:val="16"/>
    </w:rPr>
  </w:style>
  <w:style w:type="paragraph" w:styleId="Commentaire">
    <w:name w:val="annotation text"/>
    <w:basedOn w:val="Normal"/>
    <w:link w:val="CommentaireCar"/>
    <w:uiPriority w:val="99"/>
    <w:semiHidden/>
    <w:unhideWhenUsed/>
    <w:rsid w:val="00F86197"/>
    <w:rPr>
      <w:sz w:val="20"/>
      <w:szCs w:val="18"/>
    </w:rPr>
  </w:style>
  <w:style w:type="character" w:customStyle="1" w:styleId="CommentaireCar">
    <w:name w:val="Commentaire Car"/>
    <w:basedOn w:val="Policepardfaut"/>
    <w:link w:val="Commentaire"/>
    <w:uiPriority w:val="99"/>
    <w:semiHidden/>
    <w:rsid w:val="00F86197"/>
    <w:rPr>
      <w:rFonts w:ascii="Times New Roman" w:eastAsia="SimSun" w:hAnsi="Times New Roman" w:cs="Mangal"/>
      <w:kern w:val="1"/>
      <w:szCs w:val="18"/>
      <w:lang w:eastAsia="hi-IN" w:bidi="hi-IN"/>
    </w:rPr>
  </w:style>
  <w:style w:type="paragraph" w:styleId="Objetducommentaire">
    <w:name w:val="annotation subject"/>
    <w:basedOn w:val="Commentaire"/>
    <w:next w:val="Commentaire"/>
    <w:link w:val="ObjetducommentaireCar"/>
    <w:uiPriority w:val="99"/>
    <w:semiHidden/>
    <w:unhideWhenUsed/>
    <w:rsid w:val="00F86197"/>
    <w:rPr>
      <w:b/>
      <w:bCs/>
    </w:rPr>
  </w:style>
  <w:style w:type="character" w:customStyle="1" w:styleId="ObjetducommentaireCar">
    <w:name w:val="Objet du commentaire Car"/>
    <w:basedOn w:val="CommentaireCar"/>
    <w:link w:val="Objetducommentaire"/>
    <w:uiPriority w:val="99"/>
    <w:semiHidden/>
    <w:rsid w:val="00F86197"/>
    <w:rPr>
      <w:rFonts w:ascii="Times New Roman" w:eastAsia="SimSun" w:hAnsi="Times New Roman" w:cs="Mangal"/>
      <w:b/>
      <w:bCs/>
      <w:kern w:val="1"/>
      <w:szCs w:val="18"/>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9694476">
      <w:bodyDiv w:val="1"/>
      <w:marLeft w:val="0"/>
      <w:marRight w:val="0"/>
      <w:marTop w:val="0"/>
      <w:marBottom w:val="0"/>
      <w:divBdr>
        <w:top w:val="none" w:sz="0" w:space="0" w:color="auto"/>
        <w:left w:val="none" w:sz="0" w:space="0" w:color="auto"/>
        <w:bottom w:val="none" w:sz="0" w:space="0" w:color="auto"/>
        <w:right w:val="none" w:sz="0" w:space="0" w:color="auto"/>
      </w:divBdr>
    </w:div>
    <w:div w:id="2073769003">
      <w:bodyDiv w:val="1"/>
      <w:marLeft w:val="0"/>
      <w:marRight w:val="0"/>
      <w:marTop w:val="0"/>
      <w:marBottom w:val="0"/>
      <w:divBdr>
        <w:top w:val="none" w:sz="0" w:space="0" w:color="auto"/>
        <w:left w:val="none" w:sz="0" w:space="0" w:color="auto"/>
        <w:bottom w:val="none" w:sz="0" w:space="0" w:color="auto"/>
        <w:right w:val="none" w:sz="0" w:space="0" w:color="auto"/>
      </w:divBdr>
    </w:div>
    <w:div w:id="2107074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rginie.durand@ens.psl.eu"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mailto:virginie.durand@ens.psl.e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09E8DE-8CB2-6247-B5FC-A8113C3AC7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621</Words>
  <Characters>3420</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ENS</Company>
  <LinksUpToDate>false</LinksUpToDate>
  <CharactersWithSpaces>4033</CharactersWithSpaces>
  <SharedDoc>false</SharedDoc>
  <HLinks>
    <vt:vector size="18" baseType="variant">
      <vt:variant>
        <vt:i4>262173</vt:i4>
      </vt:variant>
      <vt:variant>
        <vt:i4>3</vt:i4>
      </vt:variant>
      <vt:variant>
        <vt:i4>0</vt:i4>
      </vt:variant>
      <vt:variant>
        <vt:i4>5</vt:i4>
      </vt:variant>
      <vt:variant>
        <vt:lpwstr>http://transfers.ens.fr/</vt:lpwstr>
      </vt:variant>
      <vt:variant>
        <vt:lpwstr/>
      </vt:variant>
      <vt:variant>
        <vt:i4>262173</vt:i4>
      </vt:variant>
      <vt:variant>
        <vt:i4>0</vt:i4>
      </vt:variant>
      <vt:variant>
        <vt:i4>0</vt:i4>
      </vt:variant>
      <vt:variant>
        <vt:i4>5</vt:i4>
      </vt:variant>
      <vt:variant>
        <vt:lpwstr>http://transfers.ens.fr/</vt:lpwstr>
      </vt:variant>
      <vt:variant>
        <vt:lpwstr/>
      </vt:variant>
      <vt:variant>
        <vt:i4>1376360</vt:i4>
      </vt:variant>
      <vt:variant>
        <vt:i4>2</vt:i4>
      </vt:variant>
      <vt:variant>
        <vt:i4>0</vt:i4>
      </vt:variant>
      <vt:variant>
        <vt:i4>5</vt:i4>
      </vt:variant>
      <vt:variant>
        <vt:lpwstr>mailto:annabelle.milleville@ens.fr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Administrateur</dc:creator>
  <cp:lastModifiedBy>DURAND Virginie</cp:lastModifiedBy>
  <cp:revision>4</cp:revision>
  <cp:lastPrinted>2022-12-08T11:37:00Z</cp:lastPrinted>
  <dcterms:created xsi:type="dcterms:W3CDTF">2025-05-05T09:48:00Z</dcterms:created>
  <dcterms:modified xsi:type="dcterms:W3CDTF">2025-05-06T19:34:00Z</dcterms:modified>
</cp:coreProperties>
</file>